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57" w:rsidRDefault="00E93D9B" w:rsidP="00860E3D">
      <w:pPr>
        <w:jc w:val="center"/>
      </w:pPr>
      <w:r w:rsidRPr="00056056">
        <w:t>References</w:t>
      </w:r>
    </w:p>
    <w:p w:rsidR="00056056" w:rsidRDefault="00056056" w:rsidP="00056056">
      <w:pPr>
        <w:spacing w:line="240" w:lineRule="auto"/>
        <w:rPr>
          <w:i/>
        </w:rPr>
      </w:pPr>
      <w:r>
        <w:t xml:space="preserve">Seymour, C. (2006). Audit of catheter-associated UTI using silver alloy-coated Foley catheters. </w:t>
      </w:r>
      <w:r>
        <w:rPr>
          <w:i/>
        </w:rPr>
        <w:t xml:space="preserve">British </w:t>
      </w:r>
    </w:p>
    <w:p w:rsidR="00E93D9B" w:rsidRDefault="00056056" w:rsidP="00056056">
      <w:pPr>
        <w:spacing w:line="240" w:lineRule="auto"/>
      </w:pPr>
      <w:r>
        <w:rPr>
          <w:i/>
        </w:rPr>
        <w:tab/>
        <w:t xml:space="preserve">Journal Of Nursing </w:t>
      </w:r>
      <w:r>
        <w:t>(BJN, 15(11), 598-603.</w:t>
      </w:r>
    </w:p>
    <w:p w:rsidR="00056056" w:rsidRDefault="00056056" w:rsidP="00E93D9B"/>
    <w:p w:rsidR="00C43422" w:rsidRDefault="00E93D9B" w:rsidP="00056056">
      <w:pPr>
        <w:spacing w:line="480" w:lineRule="auto"/>
      </w:pPr>
      <w:r>
        <w:tab/>
        <w:t>One of the most preventable hospital acquired infections is urinary tract infections. One of the articles our group decided to summarizes is “Audit of catheter-associated UTI using silver alloy-coated Foley catheters”, by</w:t>
      </w:r>
      <w:r w:rsidR="00C43422">
        <w:t xml:space="preserve"> Coral Seymour. The author uses</w:t>
      </w:r>
      <w:r>
        <w:t xml:space="preserve"> CAUTI to address catheter-associated urinary tract infections. In this study the researchers followed patients wh</w:t>
      </w:r>
      <w:r w:rsidR="00C43422">
        <w:t xml:space="preserve">o used standard catheter system </w:t>
      </w:r>
      <w:r>
        <w:t xml:space="preserve">compared to patients who used a silver alloy-coated catheter. The study was over a time frame of 20 weeks. </w:t>
      </w:r>
      <w:r w:rsidR="00C43422">
        <w:t xml:space="preserve">The silver alloy-coated Foley catheters were impregnated with noble metals and hydrogel coats, which release silver ions into the hydrogel which eliminates the bacteria from settling on the catheter surface. </w:t>
      </w:r>
      <w:r>
        <w:t xml:space="preserve"> </w:t>
      </w:r>
      <w:r w:rsidR="00C43422">
        <w:t>No toxic adverse reactions were noted to the patients who used these catheters because silver particles are not released. Urology, infection control clinical nurse specialists and urology research nurse</w:t>
      </w:r>
      <w:r w:rsidR="00056056">
        <w:t xml:space="preserve"> worked as a team to ask patients if they were experiencing any signs of symptoms of CAUTI. The team did their assessments three times a week. </w:t>
      </w:r>
    </w:p>
    <w:p w:rsidR="00C43422" w:rsidRDefault="00C43422" w:rsidP="00056056">
      <w:pPr>
        <w:spacing w:line="480" w:lineRule="auto"/>
      </w:pPr>
      <w:r>
        <w:tab/>
        <w:t xml:space="preserve">According to the research, “ The rate fell to below the standard during the </w:t>
      </w:r>
      <w:r w:rsidR="00056056">
        <w:t>evaluation</w:t>
      </w:r>
      <w:r>
        <w:t xml:space="preserve"> period (3.2%) when silver alloy-coated Foley catheters were used, demonstrating a reduction is risk rate of 71.2%, exceeding the audit’s aim of 20%”. </w:t>
      </w:r>
      <w:r w:rsidR="00056056">
        <w:t xml:space="preserve">The recommendations after this study was that silver alloy-coated Foley catheter are the number one choice of catheter to reduces UTI for patients who are in need of short-term catheterization. The silver alloy-coated Foley catheters are even cost friendly when compared to the amount of money it costs of additional time spent in the hospitals related to UTI. </w:t>
      </w:r>
    </w:p>
    <w:p w:rsidR="00860E3D" w:rsidRDefault="00860E3D" w:rsidP="00056056">
      <w:pPr>
        <w:spacing w:line="480" w:lineRule="auto"/>
      </w:pPr>
      <w:r>
        <w:tab/>
        <w:t xml:space="preserve">After reading the article I will encourage my place of employment to used silver alloy-coated Foley catheter for acute patients who only require short-term catheterization. I will educate they on all the benefits of using a silver alloy-coated Foley catheter compared to Foley catheters without. </w:t>
      </w:r>
    </w:p>
    <w:sectPr w:rsidR="00860E3D" w:rsidSect="00317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2314D0"/>
    <w:rsid w:val="00056056"/>
    <w:rsid w:val="002314D0"/>
    <w:rsid w:val="00317057"/>
    <w:rsid w:val="00860E3D"/>
    <w:rsid w:val="00C43422"/>
    <w:rsid w:val="00E9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E9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8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9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2012-04-09T16:10:00Z</dcterms:created>
  <dcterms:modified xsi:type="dcterms:W3CDTF">2012-04-09T18:32:00Z</dcterms:modified>
</cp:coreProperties>
</file>