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47" w:rsidRDefault="00CE4DBB">
      <w:r>
        <w:t xml:space="preserve">4. Based on C.B.’s clinical signs and symptoms and the development of his disease process, his case is typical. C.B. suffered from viral influenza just prior to his diagnosis of GBS. Our Lewis book states, “Symptoms of GBS usually develop one to three weeks after an upper respiratory infection.” </w:t>
      </w:r>
      <w:proofErr w:type="gramStart"/>
      <w:r>
        <w:t>C.B also started out with bilateral weakness, numbness, and tingling of lower extremities which progressed into total paralysis.</w:t>
      </w:r>
      <w:proofErr w:type="gramEnd"/>
      <w:r>
        <w:t xml:space="preserve"> The only thing we found atypical about the case is that C.B. developed pneumonia during his stay in the hospital. While it is typical for someone who is paralyzed to develop pneumonia because they do not have proper drainage or expectoration of the secretions congested in the thoracic cavity, we feel that there could have been things done to prevent the illness. Since he must likely developed pneumonia due to his ventilation support, the nurse should have provided adequate, meticulous suctions in order to ensure that the patient did not acquire the illness. Other research has been provided to suggest that ventilator-related pneumonia’s are often caused by the chain of infection between the nurse and the patient. Sterile techniques and proper hand hygiene should be observed at all times to prevent the spread of infection to already immunocompromised patients.</w:t>
      </w:r>
    </w:p>
    <w:p w:rsidR="004743C7" w:rsidRDefault="004743C7">
      <w:r>
        <w:t xml:space="preserve">5. GBS is diagnosed through patient history and assessment as well as the presentation of the clinical signs at that time. If one were to assess the CFS at first it would appear normal with a normal (low) protein level. Anywhere between 7 to 10 days after symptoms appear the CFS will have an elevated protein level with a normal cell count. EMG results will come back abnormal in the affected extremities because there is evidence of reduced nerve conduction velocity. </w:t>
      </w:r>
    </w:p>
    <w:p w:rsidR="004743C7" w:rsidRDefault="004743C7">
      <w:r>
        <w:t xml:space="preserve">7. In this case-study, C.B. suffers from total paralysis and is on continued ventilation support through a tracheotomy. At this point in the disease progression C.B. will require tube feedings while his paralysis remains due to his impaired ability to swallow. Things to consider when addressing his nutritional status would be: daily weights, caloric intake, serum albumin levels, electrolyte levels, as well as a basic chemistry work up (sodium, potassium, calcium, etc) to ensure C.B. is receiving all the </w:t>
      </w:r>
      <w:proofErr w:type="gramStart"/>
      <w:r>
        <w:t>nutrients  his</w:t>
      </w:r>
      <w:proofErr w:type="gramEnd"/>
      <w:r>
        <w:t xml:space="preserve"> body needs. </w:t>
      </w:r>
    </w:p>
    <w:sectPr w:rsidR="004743C7" w:rsidSect="00CE4DB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CE4DBB"/>
    <w:rsid w:val="004743C7"/>
    <w:rsid w:val="00952847"/>
    <w:rsid w:val="00CE4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8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2012-02-21T18:12:00Z</dcterms:created>
  <dcterms:modified xsi:type="dcterms:W3CDTF">2012-02-21T18:29:00Z</dcterms:modified>
</cp:coreProperties>
</file>