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C22" w:rsidRPr="00435C22" w:rsidRDefault="00435C22" w:rsidP="007D5841">
      <w:pPr>
        <w:numPr>
          <w:ilvl w:val="0"/>
          <w:numId w:val="1"/>
        </w:numPr>
        <w:spacing w:before="100" w:beforeAutospacing="1" w:after="100" w:afterAutospacing="1" w:line="240" w:lineRule="auto"/>
        <w:rPr>
          <w:rFonts w:eastAsia="Times New Roman"/>
          <w:szCs w:val="24"/>
        </w:rPr>
      </w:pPr>
      <w:r w:rsidRPr="00435C22">
        <w:rPr>
          <w:rFonts w:eastAsia="Times New Roman"/>
          <w:szCs w:val="24"/>
        </w:rPr>
        <w:t>Explain how communicating a professional image can help you in your career.</w:t>
      </w:r>
    </w:p>
    <w:p w:rsidR="00EB4997" w:rsidRPr="00EB4997" w:rsidRDefault="00EB4997" w:rsidP="007D5841">
      <w:pPr>
        <w:pStyle w:val="ListParagraph"/>
        <w:spacing w:before="100" w:beforeAutospacing="1" w:after="100" w:afterAutospacing="1" w:line="240" w:lineRule="auto"/>
        <w:rPr>
          <w:rFonts w:eastAsia="Times New Roman"/>
          <w:szCs w:val="24"/>
        </w:rPr>
      </w:pPr>
      <w:r w:rsidRPr="00EB4997">
        <w:rPr>
          <w:rFonts w:eastAsia="Times New Roman"/>
          <w:szCs w:val="24"/>
        </w:rPr>
        <w:t xml:space="preserve">As last semester students, I believe we all are familiar with the travails of nurses.  There is always too much to do in </w:t>
      </w:r>
      <w:r w:rsidR="008623DA">
        <w:rPr>
          <w:rFonts w:eastAsia="Times New Roman"/>
          <w:szCs w:val="24"/>
        </w:rPr>
        <w:t xml:space="preserve">so </w:t>
      </w:r>
      <w:r w:rsidRPr="00EB4997">
        <w:rPr>
          <w:rFonts w:eastAsia="Times New Roman"/>
          <w:szCs w:val="24"/>
        </w:rPr>
        <w:t>little time!  However, nurses need to remember that while at work, they should be about helping their patients. Professionalism dictates that</w:t>
      </w:r>
      <w:r w:rsidR="008623DA">
        <w:rPr>
          <w:rFonts w:eastAsia="Times New Roman"/>
          <w:szCs w:val="24"/>
        </w:rPr>
        <w:t xml:space="preserve"> nurses go beyond technical tasks</w:t>
      </w:r>
      <w:r w:rsidRPr="00EB4997">
        <w:rPr>
          <w:rFonts w:eastAsia="Times New Roman"/>
          <w:szCs w:val="24"/>
        </w:rPr>
        <w:t xml:space="preserve"> (such as </w:t>
      </w:r>
      <w:r w:rsidR="008623DA">
        <w:rPr>
          <w:rFonts w:eastAsia="Times New Roman"/>
          <w:szCs w:val="24"/>
        </w:rPr>
        <w:t>giving an IV pushing</w:t>
      </w:r>
      <w:r w:rsidRPr="00EB4997">
        <w:rPr>
          <w:rFonts w:eastAsia="Times New Roman"/>
          <w:szCs w:val="24"/>
        </w:rPr>
        <w:t xml:space="preserve">) into a new realm </w:t>
      </w:r>
      <w:r w:rsidR="008623DA" w:rsidRPr="00EB4997">
        <w:rPr>
          <w:rFonts w:eastAsia="Times New Roman"/>
          <w:szCs w:val="24"/>
        </w:rPr>
        <w:t xml:space="preserve">of </w:t>
      </w:r>
      <w:r w:rsidR="008623DA">
        <w:rPr>
          <w:rFonts w:eastAsia="Times New Roman"/>
          <w:szCs w:val="24"/>
        </w:rPr>
        <w:t xml:space="preserve">holistically </w:t>
      </w:r>
      <w:r w:rsidRPr="00EB4997">
        <w:rPr>
          <w:rFonts w:eastAsia="Times New Roman"/>
          <w:szCs w:val="24"/>
        </w:rPr>
        <w:t xml:space="preserve">addressing </w:t>
      </w:r>
      <w:r w:rsidR="008623DA">
        <w:rPr>
          <w:rFonts w:eastAsia="Times New Roman"/>
          <w:szCs w:val="24"/>
        </w:rPr>
        <w:t xml:space="preserve">the </w:t>
      </w:r>
      <w:r w:rsidRPr="00EB4997">
        <w:rPr>
          <w:rFonts w:eastAsia="Times New Roman"/>
          <w:szCs w:val="24"/>
        </w:rPr>
        <w:t xml:space="preserve">patient </w:t>
      </w:r>
      <w:r>
        <w:rPr>
          <w:rFonts w:eastAsia="Times New Roman"/>
          <w:szCs w:val="24"/>
        </w:rPr>
        <w:t>needs.</w:t>
      </w:r>
      <w:sdt>
        <w:sdtPr>
          <w:rPr>
            <w:rFonts w:eastAsia="Times New Roman"/>
            <w:szCs w:val="24"/>
          </w:rPr>
          <w:id w:val="3101219"/>
          <w:citation/>
        </w:sdtPr>
        <w:sdtContent>
          <w:r w:rsidR="00EF06B2">
            <w:rPr>
              <w:rFonts w:eastAsia="Times New Roman"/>
              <w:szCs w:val="24"/>
            </w:rPr>
            <w:fldChar w:fldCharType="begin"/>
          </w:r>
          <w:r w:rsidR="00961F39">
            <w:rPr>
              <w:rFonts w:eastAsia="Times New Roman"/>
              <w:szCs w:val="24"/>
            </w:rPr>
            <w:instrText xml:space="preserve"> CITATION Lis05 \l 1033 </w:instrText>
          </w:r>
          <w:r w:rsidR="00EF06B2">
            <w:rPr>
              <w:rFonts w:eastAsia="Times New Roman"/>
              <w:szCs w:val="24"/>
            </w:rPr>
            <w:fldChar w:fldCharType="separate"/>
          </w:r>
          <w:r w:rsidR="00961F39">
            <w:rPr>
              <w:rFonts w:eastAsia="Times New Roman"/>
              <w:noProof/>
              <w:szCs w:val="24"/>
            </w:rPr>
            <w:t xml:space="preserve"> </w:t>
          </w:r>
          <w:r w:rsidR="00961F39" w:rsidRPr="00961F39">
            <w:rPr>
              <w:rFonts w:eastAsia="Times New Roman"/>
              <w:noProof/>
              <w:szCs w:val="24"/>
            </w:rPr>
            <w:t>(Day, 2005)</w:t>
          </w:r>
          <w:r w:rsidR="00EF06B2">
            <w:rPr>
              <w:rFonts w:eastAsia="Times New Roman"/>
              <w:szCs w:val="24"/>
            </w:rPr>
            <w:fldChar w:fldCharType="end"/>
          </w:r>
        </w:sdtContent>
      </w:sdt>
      <w:r>
        <w:rPr>
          <w:rFonts w:eastAsia="Times New Roman"/>
          <w:szCs w:val="24"/>
        </w:rPr>
        <w:t xml:space="preserve">  We have learned so much, but this knowledge is useless unless we can assist the patient self actualize and achieve health potentials. In sh</w:t>
      </w:r>
      <w:r w:rsidR="00961F39">
        <w:rPr>
          <w:rFonts w:eastAsia="Times New Roman"/>
          <w:szCs w:val="24"/>
        </w:rPr>
        <w:t xml:space="preserve">ort, we must meet their needs if at all possible. </w:t>
      </w:r>
      <w:r>
        <w:rPr>
          <w:rFonts w:eastAsia="Times New Roman"/>
          <w:szCs w:val="24"/>
        </w:rPr>
        <w:t xml:space="preserve">For this service, we get a paycheck and the knowledge we have improved another person’s life.  Professionalism in all areas is a piece of this puzzle.  In school, we get a bunch of </w:t>
      </w:r>
      <w:r w:rsidRPr="00560BD6">
        <w:rPr>
          <w:rFonts w:eastAsia="Times New Roman"/>
          <w:szCs w:val="24"/>
          <w:highlight w:val="yellow"/>
        </w:rPr>
        <w:t>rule</w:t>
      </w:r>
      <w:r>
        <w:rPr>
          <w:rFonts w:eastAsia="Times New Roman"/>
          <w:szCs w:val="24"/>
        </w:rPr>
        <w:t xml:space="preserve"> about what is acceptable and what is not in dress and the like.  It is easy to get stuck on the rules and lose sight of their purpose.  First and foremost, these rules exist to make patients more comfortable and trusting.  Looking good is a way to tell patients that we value them, that we are proud to be there for them.  We did not just roll out of bed and drag ourselves to work.  We took the time to pull our hair back and make our badges visible because our patients are important.  </w:t>
      </w:r>
      <w:r w:rsidR="00961F39">
        <w:rPr>
          <w:rFonts w:eastAsia="Times New Roman"/>
          <w:szCs w:val="24"/>
        </w:rPr>
        <w:t xml:space="preserve">Who would think about going out on a date like some nurses go to work?  Or even just out on Friday night?  Or even to meet someone whose respect was important to you?  </w:t>
      </w:r>
      <w:r>
        <w:rPr>
          <w:rFonts w:eastAsia="Times New Roman"/>
          <w:szCs w:val="24"/>
        </w:rPr>
        <w:t xml:space="preserve">We aren’t </w:t>
      </w:r>
      <w:r w:rsidR="00961F39">
        <w:rPr>
          <w:rFonts w:eastAsia="Times New Roman"/>
          <w:szCs w:val="24"/>
        </w:rPr>
        <w:t xml:space="preserve">dressing to fit in with your social circle. When nurses go into work, they go there for their patients.  Wearing a nursing uniform is a way to separate “personal” time </w:t>
      </w:r>
      <w:r w:rsidR="00961F39" w:rsidRPr="00560BD6">
        <w:rPr>
          <w:rFonts w:eastAsia="Times New Roman"/>
          <w:szCs w:val="24"/>
          <w:highlight w:val="yellow"/>
        </w:rPr>
        <w:t>form</w:t>
      </w:r>
      <w:r w:rsidR="00961F39">
        <w:rPr>
          <w:rFonts w:eastAsia="Times New Roman"/>
          <w:szCs w:val="24"/>
        </w:rPr>
        <w:t xml:space="preserve"> the time set apart for our patients.  These messages aren’t often expressed frankly, but people know. Dress codes are just a small part of the larger concepts of professionalism and meeting patient needs. However, looking good is one important way a nurse can tell his/her patients that they are there for them and will provide competent </w:t>
      </w:r>
      <w:proofErr w:type="gramStart"/>
      <w:r w:rsidR="00961F39">
        <w:rPr>
          <w:rFonts w:eastAsia="Times New Roman"/>
          <w:szCs w:val="24"/>
        </w:rPr>
        <w:t>care.</w:t>
      </w:r>
      <w:proofErr w:type="gramEnd"/>
      <w:r w:rsidR="00961F39">
        <w:rPr>
          <w:rFonts w:eastAsia="Times New Roman"/>
          <w:szCs w:val="24"/>
        </w:rPr>
        <w:t xml:space="preserve">  </w:t>
      </w:r>
    </w:p>
    <w:p w:rsidR="00961F39" w:rsidRDefault="00435C22" w:rsidP="007D5841">
      <w:pPr>
        <w:numPr>
          <w:ilvl w:val="0"/>
          <w:numId w:val="1"/>
        </w:numPr>
        <w:spacing w:before="100" w:beforeAutospacing="1" w:after="100" w:afterAutospacing="1" w:line="240" w:lineRule="auto"/>
        <w:rPr>
          <w:rFonts w:eastAsia="Times New Roman"/>
          <w:szCs w:val="24"/>
        </w:rPr>
      </w:pPr>
      <w:r w:rsidRPr="00435C22">
        <w:rPr>
          <w:rFonts w:eastAsia="Times New Roman"/>
          <w:szCs w:val="24"/>
        </w:rPr>
        <w:t>Describe how a patient might feel when a nurse teaches about smoking cessation while the nurse's clothes reek of cigarette smoke. What do you think about this? </w:t>
      </w:r>
    </w:p>
    <w:p w:rsidR="00961F39" w:rsidRPr="00961F39" w:rsidRDefault="00961F39" w:rsidP="007D5841">
      <w:pPr>
        <w:spacing w:before="100" w:beforeAutospacing="1" w:after="100" w:afterAutospacing="1" w:line="240" w:lineRule="auto"/>
        <w:ind w:left="720"/>
        <w:rPr>
          <w:rFonts w:eastAsia="Times New Roman"/>
          <w:szCs w:val="24"/>
        </w:rPr>
      </w:pPr>
      <w:r>
        <w:rPr>
          <w:rFonts w:eastAsia="Times New Roman"/>
          <w:szCs w:val="24"/>
        </w:rPr>
        <w:t xml:space="preserve">Healthcare education is a powerful intervention that has a great potential to improve health outcomes.  Simple changes avoid many complex medical problems.  </w:t>
      </w:r>
      <w:r w:rsidR="00131930">
        <w:rPr>
          <w:rFonts w:eastAsia="Times New Roman"/>
          <w:szCs w:val="24"/>
        </w:rPr>
        <w:t xml:space="preserve">Smoking education is one of these areas when big changes are possible.  With all the possibilities for improvement, nurses should try to </w:t>
      </w:r>
      <w:r w:rsidR="008623DA">
        <w:rPr>
          <w:rFonts w:eastAsia="Times New Roman"/>
          <w:szCs w:val="24"/>
        </w:rPr>
        <w:t>do everything within</w:t>
      </w:r>
      <w:r w:rsidR="000E6DEE">
        <w:rPr>
          <w:rFonts w:eastAsia="Times New Roman"/>
          <w:szCs w:val="24"/>
        </w:rPr>
        <w:t xml:space="preserve"> their pow</w:t>
      </w:r>
      <w:r w:rsidR="006C32F0">
        <w:rPr>
          <w:rFonts w:eastAsia="Times New Roman"/>
          <w:szCs w:val="24"/>
        </w:rPr>
        <w:t xml:space="preserve">er to help their patients’ </w:t>
      </w:r>
      <w:r w:rsidR="000E6DEE">
        <w:rPr>
          <w:rFonts w:eastAsia="Times New Roman"/>
          <w:szCs w:val="24"/>
        </w:rPr>
        <w:t xml:space="preserve">change.  A patient may perceive a nurse that smokes as being a hypocrite when they tell the patient to stop smoking. </w:t>
      </w:r>
      <w:r w:rsidR="007D5841">
        <w:rPr>
          <w:rFonts w:eastAsia="Times New Roman"/>
          <w:szCs w:val="24"/>
        </w:rPr>
        <w:t>The smell of cigarette smoke is a form of nonverbal communication.  Every verbal communication also has a nonverbal layer that communicates as much or more than the words themselves</w:t>
      </w:r>
      <w:sdt>
        <w:sdtPr>
          <w:rPr>
            <w:rFonts w:eastAsia="Times New Roman"/>
            <w:szCs w:val="24"/>
          </w:rPr>
          <w:id w:val="2735001"/>
          <w:citation/>
        </w:sdtPr>
        <w:sdtContent>
          <w:r w:rsidR="00EF06B2">
            <w:rPr>
              <w:rFonts w:eastAsia="Times New Roman"/>
              <w:szCs w:val="24"/>
            </w:rPr>
            <w:fldChar w:fldCharType="begin"/>
          </w:r>
          <w:r w:rsidR="007D5841">
            <w:rPr>
              <w:rFonts w:eastAsia="Times New Roman"/>
              <w:szCs w:val="24"/>
            </w:rPr>
            <w:instrText xml:space="preserve"> CITATION Zer12 \l 1033 </w:instrText>
          </w:r>
          <w:r w:rsidR="00EF06B2">
            <w:rPr>
              <w:rFonts w:eastAsia="Times New Roman"/>
              <w:szCs w:val="24"/>
            </w:rPr>
            <w:fldChar w:fldCharType="separate"/>
          </w:r>
          <w:r w:rsidR="007D5841">
            <w:rPr>
              <w:rFonts w:eastAsia="Times New Roman"/>
              <w:noProof/>
              <w:szCs w:val="24"/>
            </w:rPr>
            <w:t xml:space="preserve"> </w:t>
          </w:r>
          <w:r w:rsidR="007D5841" w:rsidRPr="007D5841">
            <w:rPr>
              <w:rFonts w:eastAsia="Times New Roman"/>
              <w:noProof/>
              <w:szCs w:val="24"/>
            </w:rPr>
            <w:t>(Zerwekh &amp; Garneau, 2012)</w:t>
          </w:r>
          <w:r w:rsidR="00EF06B2">
            <w:rPr>
              <w:rFonts w:eastAsia="Times New Roman"/>
              <w:szCs w:val="24"/>
            </w:rPr>
            <w:fldChar w:fldCharType="end"/>
          </w:r>
        </w:sdtContent>
      </w:sdt>
      <w:r w:rsidR="007D5841">
        <w:rPr>
          <w:rFonts w:eastAsia="Times New Roman"/>
          <w:szCs w:val="24"/>
        </w:rPr>
        <w:t>.  As a form of nonverbal communication, this smell would have meaning to the patient. It will probably make the patient doubt</w:t>
      </w:r>
      <w:r w:rsidR="000E6DEE">
        <w:rPr>
          <w:rFonts w:eastAsia="Times New Roman"/>
          <w:szCs w:val="24"/>
        </w:rPr>
        <w:t xml:space="preserve"> trust the nurse’s sincerity and the validity of his/her knowledge.  After all, if the nurse really believed smoking was bad, wouldn’t they stop smoking themselves? </w:t>
      </w:r>
      <w:r w:rsidR="008623DA">
        <w:rPr>
          <w:rFonts w:eastAsia="Times New Roman"/>
          <w:szCs w:val="24"/>
        </w:rPr>
        <w:t>The smell</w:t>
      </w:r>
      <w:r w:rsidR="007D5841">
        <w:rPr>
          <w:rFonts w:eastAsia="Times New Roman"/>
          <w:szCs w:val="24"/>
        </w:rPr>
        <w:t xml:space="preserve"> tells the patient that the nurse doesn’t seem to believe what she is saying. </w:t>
      </w:r>
      <w:r w:rsidR="000E6DEE">
        <w:rPr>
          <w:rFonts w:eastAsia="Times New Roman"/>
          <w:szCs w:val="24"/>
        </w:rPr>
        <w:t xml:space="preserve">This could decrease the patient’s likelihood of </w:t>
      </w:r>
      <w:r w:rsidR="000E6DEE" w:rsidRPr="00560BD6">
        <w:rPr>
          <w:rFonts w:eastAsia="Times New Roman"/>
          <w:szCs w:val="24"/>
          <w:highlight w:val="yellow"/>
        </w:rPr>
        <w:t>effecting</w:t>
      </w:r>
      <w:r w:rsidR="000E6DEE">
        <w:rPr>
          <w:rFonts w:eastAsia="Times New Roman"/>
          <w:szCs w:val="24"/>
        </w:rPr>
        <w:t xml:space="preserve"> positive life changes and improving healthcare outcomes.  Since nurses should always strive for the patient’s best interests, the nurse should also try to increase the effectiveness of their teaching.  </w:t>
      </w:r>
      <w:r w:rsidR="007D5841">
        <w:rPr>
          <w:rFonts w:eastAsia="Times New Roman"/>
          <w:szCs w:val="24"/>
        </w:rPr>
        <w:t xml:space="preserve">The congruence of the verbal and nonverbal message impacts the message’s effectiveness. </w:t>
      </w:r>
      <w:r w:rsidR="000E6DEE">
        <w:rPr>
          <w:rFonts w:eastAsia="Times New Roman"/>
          <w:szCs w:val="24"/>
        </w:rPr>
        <w:t xml:space="preserve">When a nurse actually lives by the healthcare advice he/she gives, then </w:t>
      </w:r>
      <w:r w:rsidR="000E6DEE">
        <w:rPr>
          <w:rFonts w:eastAsia="Times New Roman"/>
          <w:szCs w:val="24"/>
        </w:rPr>
        <w:lastRenderedPageBreak/>
        <w:t xml:space="preserve">their teaching seems more sincere.  This probably will lead to better outcomes and more effective teaching sessions.  </w:t>
      </w:r>
      <w:r w:rsidR="00A90892">
        <w:rPr>
          <w:rFonts w:eastAsia="Times New Roman"/>
          <w:szCs w:val="24"/>
        </w:rPr>
        <w:t xml:space="preserve">Intervening early with education can give the patient better health outcomes than all the medical interventions aimed at containing COPD, lung cancer, hypertension, and all the various other complications from smoking.  As nurses, we should do everything possible to ensure our success with patient education including actually following the rules ourselves. </w:t>
      </w:r>
    </w:p>
    <w:p w:rsidR="00435C22" w:rsidRPr="00435C22" w:rsidRDefault="00435C22" w:rsidP="007D5841">
      <w:pPr>
        <w:numPr>
          <w:ilvl w:val="0"/>
          <w:numId w:val="1"/>
        </w:numPr>
        <w:spacing w:before="100" w:beforeAutospacing="1" w:after="100" w:afterAutospacing="1" w:line="240" w:lineRule="auto"/>
        <w:rPr>
          <w:rFonts w:eastAsia="Times New Roman"/>
          <w:szCs w:val="24"/>
        </w:rPr>
      </w:pPr>
      <w:r w:rsidRPr="00435C22">
        <w:rPr>
          <w:rFonts w:eastAsia="Times New Roman"/>
          <w:szCs w:val="24"/>
        </w:rPr>
        <w:t>Surveys of hospitalized patients indicate that patients prefer that nurses wear a white uniform because it identifies that person as a nurse. Discuss your feelings about nurses wearing white uniforms versus scrubs</w:t>
      </w:r>
    </w:p>
    <w:p w:rsidR="0060004F" w:rsidRDefault="004A71FE" w:rsidP="007D5841">
      <w:pPr>
        <w:spacing w:line="240" w:lineRule="auto"/>
      </w:pPr>
      <w:r w:rsidRPr="0060004F">
        <w:t xml:space="preserve">I have several different feelings on the issue.  First, those white scrubs do look good. </w:t>
      </w:r>
      <w:r w:rsidR="008623DA">
        <w:t xml:space="preserve"> They are symbols of the </w:t>
      </w:r>
      <w:r w:rsidR="0060004F">
        <w:t>ideal of the “lady with a lamp.” It stands for the roots of nursing.  Many people would say tha</w:t>
      </w:r>
      <w:r w:rsidR="008623DA">
        <w:t>t the white dress and hat evok</w:t>
      </w:r>
      <w:r w:rsidR="0060004F">
        <w:t>e the image of a compassionate skilled healer. As such, there is some value in the white uniform.  It will probably remain a potent symbol of nursing ideals for some time.  However, there are also negative elements to the old uniform. T</w:t>
      </w:r>
      <w:r w:rsidRPr="0060004F">
        <w:t>hey are also symbols of a time where doctors dominated nurses.  Nurses did not have the professional status they have no</w:t>
      </w:r>
      <w:r w:rsidR="008623DA">
        <w:t>w</w:t>
      </w:r>
      <w:r w:rsidRPr="0060004F">
        <w:t xml:space="preserve"> or the authority to make as many </w:t>
      </w:r>
      <w:r w:rsidRPr="00560BD6">
        <w:rPr>
          <w:highlight w:val="yellow"/>
        </w:rPr>
        <w:t>decision</w:t>
      </w:r>
      <w:r w:rsidRPr="0060004F">
        <w:t xml:space="preserve"> as currently. </w:t>
      </w:r>
      <w:r w:rsidR="007D5841">
        <w:t xml:space="preserve"> In some scenarios, doctor</w:t>
      </w:r>
      <w:r w:rsidR="008623DA">
        <w:t xml:space="preserve">s would sexually harass the </w:t>
      </w:r>
      <w:r w:rsidR="007D5841">
        <w:t xml:space="preserve">female nurses without consequence. </w:t>
      </w:r>
      <w:r w:rsidR="008623DA" w:rsidRPr="0060004F">
        <w:t xml:space="preserve">.  Secondly, modern media has highly sexualized the old nursing uniform. When nurses wear the old nursing uniform, they look more like porn stars than professionals!  Lastly, I wonder how the traditional uniform would work in the modern era of male nurses.  Just think how odd it would be if all </w:t>
      </w:r>
      <w:r w:rsidR="008623DA">
        <w:t xml:space="preserve">of </w:t>
      </w:r>
      <w:r w:rsidR="008623DA" w:rsidRPr="0060004F">
        <w:t>the male nurses had to wear short shorts and little hats!</w:t>
      </w:r>
    </w:p>
    <w:p w:rsidR="0060004F" w:rsidRDefault="0060004F" w:rsidP="007D5841">
      <w:pPr>
        <w:spacing w:line="240" w:lineRule="auto"/>
      </w:pPr>
      <w:r>
        <w:t>The modern scrubs have several advantages.  They appear professional and are easily adapted to show the specialization of the nurse ( for example critical care nurses wear light blue and floor nurse wear dark blue.) Modern scrubs also appear equally professional on men and woman.  They are very function</w:t>
      </w:r>
      <w:r w:rsidR="008623DA">
        <w:t>al</w:t>
      </w:r>
      <w:r>
        <w:t xml:space="preserve"> because of their spacious pockets and easy washing.  In addition, this uniform does not </w:t>
      </w:r>
      <w:proofErr w:type="spellStart"/>
      <w:r>
        <w:t>harken</w:t>
      </w:r>
      <w:proofErr w:type="spellEnd"/>
      <w:r>
        <w:t xml:space="preserve"> back to the negative aspects of nursing’s past such as doctor’s dominance over nurses. </w:t>
      </w:r>
    </w:p>
    <w:p w:rsidR="0060004F" w:rsidRDefault="004A71FE" w:rsidP="007D5841">
      <w:pPr>
        <w:spacing w:line="240" w:lineRule="auto"/>
      </w:pPr>
      <w:r w:rsidRPr="0060004F">
        <w:t>If nurses want to be taken seriously, they need to invent a new image of themselves.  They need to visually set th</w:t>
      </w:r>
      <w:r w:rsidR="004E2779" w:rsidRPr="0060004F">
        <w:t>emselves apart from this old nursing model.  Wearing scrubs is a way to change the public’s perception of us.  This signals to them that nurses are different now.  Some may regret the loss of the old ideal, but improvements requ</w:t>
      </w:r>
      <w:r w:rsidR="008623DA">
        <w:t>ire changes. In order for nursing</w:t>
      </w:r>
      <w:r w:rsidR="004E2779" w:rsidRPr="0060004F">
        <w:t xml:space="preserve"> to develop as a profession, a new image is essential</w:t>
      </w:r>
      <w:r w:rsidR="0060004F">
        <w:t xml:space="preserve"> In short, modern scrubs are truly the better option. They better serve the nurse’s needs while also symbolizing the new authority and abilities of the RN. </w:t>
      </w:r>
    </w:p>
    <w:p w:rsidR="004E2779" w:rsidRDefault="004E2779"/>
    <w:sdt>
      <w:sdtPr>
        <w:rPr>
          <w:rFonts w:ascii="Times New Roman" w:eastAsiaTheme="minorHAnsi" w:hAnsi="Times New Roman" w:cs="Times New Roman"/>
          <w:b w:val="0"/>
          <w:bCs w:val="0"/>
          <w:color w:val="auto"/>
          <w:sz w:val="24"/>
          <w:szCs w:val="22"/>
          <w:lang w:bidi="ar-SA"/>
        </w:rPr>
        <w:id w:val="2735002"/>
        <w:docPartObj>
          <w:docPartGallery w:val="Bibliographies"/>
          <w:docPartUnique/>
        </w:docPartObj>
      </w:sdtPr>
      <w:sdtContent>
        <w:p w:rsidR="007D5841" w:rsidRDefault="007D5841">
          <w:pPr>
            <w:pStyle w:val="Heading1"/>
          </w:pPr>
          <w:r>
            <w:t>Bibliography</w:t>
          </w:r>
        </w:p>
        <w:sdt>
          <w:sdtPr>
            <w:id w:val="111145805"/>
            <w:bibliography/>
          </w:sdtPr>
          <w:sdtContent>
            <w:p w:rsidR="007D5841" w:rsidRDefault="00EF06B2" w:rsidP="007D5841">
              <w:pPr>
                <w:pStyle w:val="Bibliography"/>
                <w:rPr>
                  <w:noProof/>
                </w:rPr>
              </w:pPr>
              <w:r>
                <w:fldChar w:fldCharType="begin"/>
              </w:r>
              <w:r w:rsidR="007D5841">
                <w:instrText xml:space="preserve"> BIBLIOGRAPHY </w:instrText>
              </w:r>
              <w:r>
                <w:fldChar w:fldCharType="separate"/>
              </w:r>
              <w:r w:rsidR="007D5841">
                <w:rPr>
                  <w:noProof/>
                </w:rPr>
                <w:t xml:space="preserve">Day, L. (2005, September). Nursing Practice and Civic Professionalism. </w:t>
              </w:r>
              <w:r w:rsidR="007D5841">
                <w:rPr>
                  <w:i/>
                  <w:iCs/>
                  <w:noProof/>
                </w:rPr>
                <w:t>American Journal of Critical Care</w:t>
              </w:r>
              <w:r w:rsidR="007D5841">
                <w:rPr>
                  <w:noProof/>
                </w:rPr>
                <w:t xml:space="preserve"> .</w:t>
              </w:r>
            </w:p>
            <w:p w:rsidR="007D5841" w:rsidRDefault="007D5841" w:rsidP="00560BD6">
              <w:r>
                <w:rPr>
                  <w:noProof/>
                </w:rPr>
                <w:t xml:space="preserve">Zerwekh, J., &amp; Garneau, A. (2012). </w:t>
              </w:r>
              <w:r>
                <w:rPr>
                  <w:i/>
                  <w:iCs/>
                  <w:noProof/>
                </w:rPr>
                <w:t>Nursing Today: Transitions and Trends.</w:t>
              </w:r>
              <w:r>
                <w:rPr>
                  <w:noProof/>
                </w:rPr>
                <w:t xml:space="preserve"> St. Louis Missouri: </w:t>
              </w:r>
              <w:r w:rsidRPr="00560BD6">
                <w:rPr>
                  <w:noProof/>
                  <w:highlight w:val="yellow"/>
                </w:rPr>
                <w:t>Elseriver.</w:t>
              </w:r>
              <w:r w:rsidR="00EF06B2">
                <w:fldChar w:fldCharType="end"/>
              </w:r>
            </w:p>
          </w:sdtContent>
        </w:sdt>
      </w:sdtContent>
    </w:sdt>
    <w:tbl>
      <w:tblPr>
        <w:tblW w:w="4583" w:type="pct"/>
        <w:tblCellSpacing w:w="0" w:type="dxa"/>
        <w:tblInd w:w="450" w:type="dxa"/>
        <w:tblCellMar>
          <w:left w:w="0" w:type="dxa"/>
          <w:right w:w="0" w:type="dxa"/>
        </w:tblCellMar>
        <w:tblLook w:val="04A0"/>
      </w:tblPr>
      <w:tblGrid>
        <w:gridCol w:w="8579"/>
      </w:tblGrid>
      <w:tr w:rsidR="00560BD6" w:rsidTr="006A5DCB">
        <w:trPr>
          <w:trHeight w:val="314"/>
          <w:tblCellSpacing w:w="0" w:type="dxa"/>
        </w:trPr>
        <w:tc>
          <w:tcPr>
            <w:tcW w:w="5000" w:type="pct"/>
            <w:vAlign w:val="center"/>
            <w:hideMark/>
          </w:tcPr>
          <w:p w:rsidR="00560BD6" w:rsidRPr="00560BD6" w:rsidRDefault="00560BD6" w:rsidP="00560BD6">
            <w:pPr>
              <w:spacing w:after="0" w:line="240" w:lineRule="auto"/>
              <w:jc w:val="center"/>
              <w:rPr>
                <w:sz w:val="20"/>
                <w:szCs w:val="20"/>
              </w:rPr>
            </w:pPr>
            <w:r w:rsidRPr="00560BD6">
              <w:rPr>
                <w:b/>
                <w:bCs/>
                <w:sz w:val="20"/>
                <w:szCs w:val="20"/>
              </w:rPr>
              <w:lastRenderedPageBreak/>
              <w:t>FRMC School of Nursing</w:t>
            </w:r>
          </w:p>
        </w:tc>
      </w:tr>
      <w:tr w:rsidR="00560BD6" w:rsidTr="006A5DCB">
        <w:trPr>
          <w:trHeight w:val="269"/>
          <w:tblCellSpacing w:w="0" w:type="dxa"/>
        </w:trPr>
        <w:tc>
          <w:tcPr>
            <w:tcW w:w="5000" w:type="pct"/>
            <w:vAlign w:val="center"/>
            <w:hideMark/>
          </w:tcPr>
          <w:p w:rsidR="00560BD6" w:rsidRPr="00560BD6" w:rsidRDefault="00560BD6" w:rsidP="00560BD6">
            <w:pPr>
              <w:spacing w:after="0" w:line="240" w:lineRule="auto"/>
              <w:jc w:val="center"/>
              <w:rPr>
                <w:sz w:val="20"/>
                <w:szCs w:val="20"/>
              </w:rPr>
            </w:pPr>
            <w:proofErr w:type="spellStart"/>
            <w:r w:rsidRPr="00560BD6">
              <w:rPr>
                <w:sz w:val="20"/>
                <w:szCs w:val="20"/>
              </w:rPr>
              <w:t>Dropbox</w:t>
            </w:r>
            <w:proofErr w:type="spellEnd"/>
            <w:r w:rsidRPr="00560BD6">
              <w:rPr>
                <w:sz w:val="20"/>
                <w:szCs w:val="20"/>
              </w:rPr>
              <w:t xml:space="preserve"> or Discussion Rubric</w:t>
            </w:r>
          </w:p>
        </w:tc>
      </w:tr>
      <w:tr w:rsidR="00560BD6" w:rsidTr="006A5DCB">
        <w:trPr>
          <w:trHeight w:val="1525"/>
          <w:tblCellSpacing w:w="0" w:type="dxa"/>
        </w:trPr>
        <w:tc>
          <w:tcPr>
            <w:tcW w:w="5000" w:type="pct"/>
            <w:vAlign w:val="center"/>
          </w:tcPr>
          <w:p w:rsidR="00560BD6" w:rsidRPr="00560BD6" w:rsidRDefault="00560BD6" w:rsidP="00560BD6">
            <w:pPr>
              <w:spacing w:after="0" w:line="240" w:lineRule="auto"/>
              <w:jc w:val="center"/>
              <w:rPr>
                <w:sz w:val="20"/>
                <w:szCs w:val="20"/>
              </w:rPr>
            </w:pPr>
            <w:r w:rsidRPr="00560BD6">
              <w:rPr>
                <w:sz w:val="20"/>
                <w:szCs w:val="20"/>
              </w:rPr>
              <w:t>NCA III - Management</w:t>
            </w:r>
          </w:p>
          <w:p w:rsidR="00560BD6" w:rsidRPr="00963ED8" w:rsidRDefault="00560BD6" w:rsidP="00560BD6">
            <w:pPr>
              <w:spacing w:after="0" w:line="240" w:lineRule="auto"/>
              <w:jc w:val="center"/>
              <w:rPr>
                <w:sz w:val="19"/>
                <w:szCs w:val="19"/>
              </w:rPr>
            </w:pPr>
            <w:r w:rsidRPr="00963ED8">
              <w:rPr>
                <w:sz w:val="19"/>
                <w:szCs w:val="19"/>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bl>
            <w:tblPr>
              <w:tblStyle w:val="TableGrid"/>
              <w:tblW w:w="5000" w:type="pct"/>
              <w:tblLook w:val="04A0"/>
            </w:tblPr>
            <w:tblGrid>
              <w:gridCol w:w="1615"/>
              <w:gridCol w:w="2159"/>
              <w:gridCol w:w="2521"/>
              <w:gridCol w:w="1434"/>
              <w:gridCol w:w="840"/>
            </w:tblGrid>
            <w:tr w:rsidR="00560BD6" w:rsidRPr="00560BD6" w:rsidTr="00560BD6">
              <w:tc>
                <w:tcPr>
                  <w:tcW w:w="4510" w:type="pct"/>
                  <w:gridSpan w:val="4"/>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b/>
                      <w:bCs/>
                      <w:sz w:val="20"/>
                      <w:szCs w:val="20"/>
                    </w:rPr>
                    <w:t>Criteria</w:t>
                  </w:r>
                </w:p>
              </w:tc>
              <w:tc>
                <w:tcPr>
                  <w:tcW w:w="49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b/>
                      <w:bCs/>
                      <w:sz w:val="20"/>
                      <w:szCs w:val="20"/>
                    </w:rPr>
                    <w:t>Points</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sz w:val="20"/>
                      <w:szCs w:val="20"/>
                    </w:rPr>
                  </w:pP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3</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1</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0</w:t>
                  </w:r>
                </w:p>
              </w:tc>
              <w:tc>
                <w:tcPr>
                  <w:tcW w:w="490" w:type="pct"/>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b/>
                      <w:sz w:val="20"/>
                      <w:szCs w:val="20"/>
                    </w:rPr>
                  </w:pP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Timely</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Response questions posted by </w:t>
                  </w:r>
                  <w:r w:rsidRPr="00560BD6">
                    <w:rPr>
                      <w:b/>
                      <w:sz w:val="20"/>
                      <w:szCs w:val="20"/>
                    </w:rPr>
                    <w:t>Friday at 0800</w:t>
                  </w:r>
                  <w:r w:rsidRPr="00560BD6">
                    <w:rPr>
                      <w:sz w:val="20"/>
                      <w:szCs w:val="20"/>
                    </w:rPr>
                    <w:t>.</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N/A</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Response not posted by due date. </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__</w:t>
                  </w:r>
                  <w:r w:rsidRPr="00560BD6">
                    <w:rPr>
                      <w:color w:val="FF0000"/>
                      <w:sz w:val="20"/>
                      <w:szCs w:val="20"/>
                    </w:rPr>
                    <w:t>3</w:t>
                  </w:r>
                  <w:r w:rsidRPr="00560BD6">
                    <w:rPr>
                      <w:sz w:val="20"/>
                      <w:szCs w:val="20"/>
                    </w:rPr>
                    <w:t>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Topic Knowledge</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Exceptional depth of knowledge reflected by evidence of reading text along with additional readings. Responses reflect much thought, offering new ideas for discussion.</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depth of knowledge reflected in responses.  Frequently uses brief responses that offer no new ideas.</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w:t>
                  </w:r>
                  <w:r w:rsidRPr="00560BD6">
                    <w:rPr>
                      <w:color w:val="FF0000"/>
                      <w:sz w:val="20"/>
                      <w:szCs w:val="20"/>
                    </w:rPr>
                    <w:t>3</w:t>
                  </w:r>
                  <w:r w:rsidRPr="00560BD6">
                    <w:rPr>
                      <w:sz w:val="20"/>
                      <w:szCs w:val="20"/>
                    </w:rPr>
                    <w:t>___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Professionalism</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Uses correct grammar and punctuation. Is respectful of others in discussion and response.</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Grammar and punctuation with some errors. Is respectful of others in discussion and response</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__</w:t>
                  </w:r>
                  <w:r>
                    <w:rPr>
                      <w:color w:val="FF0000"/>
                      <w:sz w:val="20"/>
                      <w:szCs w:val="20"/>
                    </w:rPr>
                    <w:t>1</w:t>
                  </w:r>
                  <w:r w:rsidRPr="00560BD6">
                    <w:rPr>
                      <w:sz w:val="20"/>
                      <w:szCs w:val="20"/>
                    </w:rPr>
                    <w:t>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References</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Internally cites use of </w:t>
                  </w:r>
                  <w:r w:rsidRPr="00560BD6">
                    <w:rPr>
                      <w:b/>
                      <w:sz w:val="20"/>
                      <w:szCs w:val="20"/>
                    </w:rPr>
                    <w:t xml:space="preserve">references. </w:t>
                  </w:r>
                  <w:r w:rsidRPr="00560BD6">
                    <w:rPr>
                      <w:sz w:val="20"/>
                      <w:szCs w:val="20"/>
                    </w:rPr>
                    <w:t>References from the internet are reputable websites.  No blogs or opinion websites used.</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Offers no citations or incomplete citations without both internally citing a reference and including it in the reference list.  Internet resources are from </w:t>
                  </w:r>
                  <w:proofErr w:type="spellStart"/>
                  <w:r w:rsidRPr="00560BD6">
                    <w:rPr>
                      <w:sz w:val="20"/>
                      <w:szCs w:val="20"/>
                    </w:rPr>
                    <w:t>nonreputable</w:t>
                  </w:r>
                  <w:proofErr w:type="spellEnd"/>
                  <w:r w:rsidRPr="00560BD6">
                    <w:rPr>
                      <w:sz w:val="20"/>
                      <w:szCs w:val="20"/>
                    </w:rPr>
                    <w:t xml:space="preserve"> or are blog or opinion websites.  </w:t>
                  </w:r>
                  <w:r w:rsidRPr="00560BD6">
                    <w:rPr>
                      <w:b/>
                      <w:sz w:val="20"/>
                      <w:szCs w:val="20"/>
                    </w:rPr>
                    <w:t>If the references cited are unable to be located it is counted as not being cited.</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w:t>
                  </w:r>
                  <w:r w:rsidRPr="00560BD6">
                    <w:rPr>
                      <w:color w:val="FF0000"/>
                      <w:sz w:val="20"/>
                      <w:szCs w:val="20"/>
                    </w:rPr>
                    <w:t>1</w:t>
                  </w:r>
                  <w:r w:rsidRPr="00560BD6">
                    <w:rPr>
                      <w:sz w:val="20"/>
                      <w:szCs w:val="20"/>
                    </w:rPr>
                    <w:t>__</w:t>
                  </w:r>
                </w:p>
              </w:tc>
            </w:tr>
            <w:tr w:rsidR="00560BD6" w:rsidRPr="00560BD6" w:rsidTr="00963ED8">
              <w:tc>
                <w:tcPr>
                  <w:tcW w:w="3673" w:type="pct"/>
                  <w:gridSpan w:val="3"/>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sz w:val="20"/>
                      <w:szCs w:val="20"/>
                    </w:rPr>
                  </w:pP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Score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pBdr>
                      <w:bottom w:val="single" w:sz="12" w:space="1" w:color="auto"/>
                    </w:pBdr>
                    <w:jc w:val="center"/>
                    <w:rPr>
                      <w:b/>
                      <w:sz w:val="20"/>
                      <w:szCs w:val="20"/>
                    </w:rPr>
                  </w:pPr>
                  <w:r>
                    <w:rPr>
                      <w:b/>
                      <w:color w:val="FF0000"/>
                      <w:sz w:val="20"/>
                      <w:szCs w:val="20"/>
                    </w:rPr>
                    <w:t>8</w:t>
                  </w:r>
                  <w:r w:rsidRPr="00560BD6">
                    <w:rPr>
                      <w:b/>
                      <w:sz w:val="20"/>
                      <w:szCs w:val="20"/>
                    </w:rPr>
                    <w:t>/12</w:t>
                  </w:r>
                </w:p>
              </w:tc>
            </w:tr>
          </w:tbl>
          <w:p w:rsidR="00560BD6" w:rsidRPr="00560BD6" w:rsidRDefault="00560BD6" w:rsidP="00560BD6">
            <w:pPr>
              <w:spacing w:after="0" w:line="240" w:lineRule="auto"/>
              <w:jc w:val="center"/>
              <w:rPr>
                <w:sz w:val="20"/>
                <w:szCs w:val="20"/>
              </w:rPr>
            </w:pPr>
          </w:p>
        </w:tc>
      </w:tr>
      <w:tr w:rsidR="00560BD6" w:rsidTr="006A5DCB">
        <w:trPr>
          <w:trHeight w:val="288"/>
          <w:tblCellSpacing w:w="0" w:type="dxa"/>
        </w:trPr>
        <w:tc>
          <w:tcPr>
            <w:tcW w:w="5000" w:type="pct"/>
            <w:vAlign w:val="center"/>
            <w:hideMark/>
          </w:tcPr>
          <w:p w:rsidR="00560BD6" w:rsidRPr="00560BD6" w:rsidRDefault="00560BD6" w:rsidP="006A5DCB">
            <w:pPr>
              <w:rPr>
                <w:sz w:val="20"/>
                <w:szCs w:val="20"/>
              </w:rPr>
            </w:pPr>
            <w:r w:rsidRPr="00560BD6">
              <w:rPr>
                <w:b/>
                <w:bCs/>
                <w:sz w:val="20"/>
                <w:szCs w:val="20"/>
              </w:rPr>
              <w:t>Powered by TeAch-nology.com- The Web Portal For Educators! (</w:t>
            </w:r>
            <w:hyperlink r:id="rId6" w:history="1">
              <w:r w:rsidRPr="00560BD6">
                <w:rPr>
                  <w:rStyle w:val="Hyperlink"/>
                  <w:b/>
                  <w:bCs/>
                  <w:sz w:val="20"/>
                  <w:szCs w:val="20"/>
                </w:rPr>
                <w:t>www.teach-nology.com</w:t>
              </w:r>
            </w:hyperlink>
            <w:r w:rsidRPr="00560BD6">
              <w:rPr>
                <w:b/>
                <w:bCs/>
                <w:sz w:val="20"/>
                <w:szCs w:val="20"/>
              </w:rPr>
              <w:t xml:space="preserve">) </w:t>
            </w:r>
            <w:r w:rsidRPr="00560BD6">
              <w:rPr>
                <w:sz w:val="20"/>
                <w:szCs w:val="20"/>
              </w:rPr>
              <w:t>Revised 2013</w:t>
            </w:r>
          </w:p>
        </w:tc>
      </w:tr>
    </w:tbl>
    <w:p w:rsidR="00560BD6" w:rsidRDefault="00560BD6" w:rsidP="00560BD6">
      <w:r>
        <w:t xml:space="preserve">Caitlin, another fine job on the content </w:t>
      </w:r>
      <w:r w:rsidR="00963ED8">
        <w:t xml:space="preserve">of your post </w:t>
      </w:r>
      <w:r>
        <w:t xml:space="preserve">but the </w:t>
      </w:r>
      <w:proofErr w:type="spellStart"/>
      <w:r w:rsidR="00963ED8">
        <w:t>Zerwekh</w:t>
      </w:r>
      <w:proofErr w:type="spellEnd"/>
      <w:r w:rsidR="00963ED8">
        <w:t xml:space="preserve"> </w:t>
      </w:r>
      <w:r>
        <w:t>reference seems to have changed</w:t>
      </w:r>
      <w:r w:rsidR="00963ED8">
        <w:t xml:space="preserve"> publishers</w:t>
      </w:r>
      <w:r>
        <w:t xml:space="preserve">. There were a few little grammar errors. </w:t>
      </w:r>
    </w:p>
    <w:sectPr w:rsidR="00560BD6" w:rsidSect="00933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1654D"/>
    <w:multiLevelType w:val="multilevel"/>
    <w:tmpl w:val="09207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5C22"/>
    <w:rsid w:val="00025D9D"/>
    <w:rsid w:val="00054024"/>
    <w:rsid w:val="000E6DEE"/>
    <w:rsid w:val="0012727E"/>
    <w:rsid w:val="00131930"/>
    <w:rsid w:val="00160B88"/>
    <w:rsid w:val="00435C22"/>
    <w:rsid w:val="004A71FE"/>
    <w:rsid w:val="004E2779"/>
    <w:rsid w:val="00560BD6"/>
    <w:rsid w:val="0060004F"/>
    <w:rsid w:val="006C32F0"/>
    <w:rsid w:val="007D5841"/>
    <w:rsid w:val="008623DA"/>
    <w:rsid w:val="009333CE"/>
    <w:rsid w:val="00961F39"/>
    <w:rsid w:val="00963ED8"/>
    <w:rsid w:val="00A90892"/>
    <w:rsid w:val="00EB4997"/>
    <w:rsid w:val="00EF06B2"/>
    <w:rsid w:val="00F85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CE"/>
  </w:style>
  <w:style w:type="paragraph" w:styleId="Heading1">
    <w:name w:val="heading 1"/>
    <w:basedOn w:val="Normal"/>
    <w:next w:val="Normal"/>
    <w:link w:val="Heading1Char"/>
    <w:uiPriority w:val="9"/>
    <w:qFormat/>
    <w:rsid w:val="007D584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997"/>
    <w:pPr>
      <w:ind w:left="720"/>
      <w:contextualSpacing/>
    </w:pPr>
  </w:style>
  <w:style w:type="paragraph" w:styleId="BalloonText">
    <w:name w:val="Balloon Text"/>
    <w:basedOn w:val="Normal"/>
    <w:link w:val="BalloonTextChar"/>
    <w:uiPriority w:val="99"/>
    <w:semiHidden/>
    <w:unhideWhenUsed/>
    <w:rsid w:val="00961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F39"/>
    <w:rPr>
      <w:rFonts w:ascii="Tahoma" w:hAnsi="Tahoma" w:cs="Tahoma"/>
      <w:sz w:val="16"/>
      <w:szCs w:val="16"/>
    </w:rPr>
  </w:style>
  <w:style w:type="character" w:customStyle="1" w:styleId="Heading1Char">
    <w:name w:val="Heading 1 Char"/>
    <w:basedOn w:val="DefaultParagraphFont"/>
    <w:link w:val="Heading1"/>
    <w:uiPriority w:val="9"/>
    <w:rsid w:val="007D5841"/>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7D5841"/>
  </w:style>
  <w:style w:type="character" w:styleId="Hyperlink">
    <w:name w:val="Hyperlink"/>
    <w:basedOn w:val="DefaultParagraphFont"/>
    <w:semiHidden/>
    <w:unhideWhenUsed/>
    <w:rsid w:val="00560BD6"/>
    <w:rPr>
      <w:color w:val="0000FF"/>
      <w:u w:val="single"/>
    </w:rPr>
  </w:style>
  <w:style w:type="table" w:styleId="TableGrid">
    <w:name w:val="Table Grid"/>
    <w:basedOn w:val="TableNormal"/>
    <w:uiPriority w:val="59"/>
    <w:rsid w:val="00560BD6"/>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091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ach-nolog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Lis05</b:Tag>
    <b:SourceType>ArticleInAPeriodical</b:SourceType>
    <b:Guid>{89F30FF6-8A8A-47E7-AE00-71F7ADD1D693}</b:Guid>
    <b:LCID>0</b:LCID>
    <b:Author>
      <b:Author>
        <b:NameList>
          <b:Person>
            <b:Last>Day</b:Last>
            <b:First>Lisa</b:First>
          </b:Person>
        </b:NameList>
      </b:Author>
    </b:Author>
    <b:Title>Nursing Practice and Civic Professionalism</b:Title>
    <b:PeriodicalTitle>American Journal of Critical Care</b:PeriodicalTitle>
    <b:Year>2005</b:Year>
    <b:Month>September</b:Month>
    <b:RefOrder>1</b:RefOrder>
  </b:Source>
  <b:Source>
    <b:Tag>Zer12</b:Tag>
    <b:SourceType>Book</b:SourceType>
    <b:Guid>{C204A98C-8105-4D76-8B3B-C778D339BCF3}</b:Guid>
    <b:LCID>0</b:LCID>
    <b:Author>
      <b:Author>
        <b:NameList>
          <b:Person>
            <b:Last>Zerwekh</b:Last>
            <b:First>JoAnn</b:First>
          </b:Person>
          <b:Person>
            <b:Last>Garneau</b:Last>
            <b:First>Ashley</b:First>
          </b:Person>
        </b:NameList>
      </b:Author>
    </b:Author>
    <b:Title>Nursing Today: Transitions and Trends</b:Title>
    <b:Year>2012</b:Year>
    <b:City>St. Louis Missouri</b:City>
    <b:Publisher>Elseriver</b:Publisher>
    <b:RefOrder>2</b:RefOrder>
  </b:Source>
</b:Sources>
</file>

<file path=customXml/itemProps1.xml><?xml version="1.0" encoding="utf-8"?>
<ds:datastoreItem xmlns:ds="http://schemas.openxmlformats.org/officeDocument/2006/customXml" ds:itemID="{025EEF8A-005A-4D89-B47A-19710E25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Administratr</dc:creator>
  <cp:lastModifiedBy>tmwbower</cp:lastModifiedBy>
  <cp:revision>2</cp:revision>
  <dcterms:created xsi:type="dcterms:W3CDTF">2013-02-03T01:37:00Z</dcterms:created>
  <dcterms:modified xsi:type="dcterms:W3CDTF">2013-02-03T01:37:00Z</dcterms:modified>
</cp:coreProperties>
</file>