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440" w:rsidRDefault="00294440" w:rsidP="00294440">
      <w:pPr>
        <w:jc w:val="right"/>
      </w:pPr>
      <w:r>
        <w:t>Brian Seitz</w:t>
      </w:r>
    </w:p>
    <w:p w:rsidR="00294440" w:rsidRDefault="00294440" w:rsidP="00294440">
      <w:pPr>
        <w:jc w:val="right"/>
      </w:pPr>
      <w:r>
        <w:t>Jimmy Meadows</w:t>
      </w:r>
    </w:p>
    <w:p w:rsidR="00294440" w:rsidRPr="00294440" w:rsidRDefault="00294440" w:rsidP="00294440">
      <w:pPr>
        <w:jc w:val="right"/>
      </w:pPr>
      <w:r>
        <w:t>Sarah Hasselbach</w:t>
      </w:r>
    </w:p>
    <w:p w:rsidR="00917089" w:rsidRDefault="00294440" w:rsidP="00294440">
      <w:pPr>
        <w:jc w:val="center"/>
        <w:rPr>
          <w:sz w:val="28"/>
          <w:szCs w:val="28"/>
        </w:rPr>
      </w:pPr>
      <w:r>
        <w:rPr>
          <w:sz w:val="28"/>
          <w:szCs w:val="28"/>
        </w:rPr>
        <w:t>Anticoagulation Therapy</w:t>
      </w:r>
    </w:p>
    <w:p w:rsidR="004E4538" w:rsidRDefault="00294440" w:rsidP="004E4538">
      <w:pPr>
        <w:autoSpaceDE w:val="0"/>
        <w:autoSpaceDN w:val="0"/>
        <w:adjustRightInd w:val="0"/>
        <w:spacing w:after="0" w:line="240" w:lineRule="auto"/>
      </w:pPr>
      <w:r>
        <w:tab/>
        <w:t>Anticoagulation therapy has been and is currently still being reviewed by The Joint Commission (TJC) today. In September 24</w:t>
      </w:r>
      <w:r w:rsidRPr="00294440">
        <w:rPr>
          <w:vertAlign w:val="superscript"/>
        </w:rPr>
        <w:t>th</w:t>
      </w:r>
      <w:r>
        <w:t xml:space="preserve">, 2008 there was a Sentinel Event Alert from TJC about anticoagulation therapy and preventing common errors. </w:t>
      </w:r>
      <w:r w:rsidR="004E4538">
        <w:t xml:space="preserve">The Joint Commission came out with this publication because anticoagulants have been one of the top five drug classes that </w:t>
      </w:r>
      <w:proofErr w:type="gramStart"/>
      <w:r w:rsidR="004E4538">
        <w:t>has</w:t>
      </w:r>
      <w:proofErr w:type="gramEnd"/>
      <w:r w:rsidR="004E4538">
        <w:t xml:space="preserve"> been associated with patient safety issues. The Joint Commission published,</w:t>
      </w:r>
    </w:p>
    <w:p w:rsidR="004E4538" w:rsidRDefault="004E4538" w:rsidP="004E4538">
      <w:pPr>
        <w:autoSpaceDE w:val="0"/>
        <w:autoSpaceDN w:val="0"/>
        <w:adjustRightInd w:val="0"/>
        <w:spacing w:after="0" w:line="240" w:lineRule="auto"/>
      </w:pPr>
    </w:p>
    <w:p w:rsidR="00294440" w:rsidRDefault="004E4538" w:rsidP="004E4538">
      <w:pPr>
        <w:autoSpaceDE w:val="0"/>
        <w:autoSpaceDN w:val="0"/>
        <w:adjustRightInd w:val="0"/>
        <w:spacing w:after="0" w:line="240" w:lineRule="auto"/>
        <w:ind w:left="720" w:firstLine="720"/>
      </w:pPr>
      <w:r>
        <w:t xml:space="preserve"> “</w:t>
      </w:r>
      <w:r w:rsidRPr="004E4538">
        <w:t>According to the United States Pharmacopeia MEDMARX database, a</w:t>
      </w:r>
      <w:r>
        <w:t xml:space="preserve"> </w:t>
      </w:r>
      <w:r w:rsidRPr="004E4538">
        <w:t>total of 59,316 medication errors related to anticoagulan</w:t>
      </w:r>
      <w:r>
        <w:t xml:space="preserve">ts were reported to the MEDMARX </w:t>
      </w:r>
      <w:r w:rsidRPr="004E4538">
        <w:t>program from 2001 to 2006 (these</w:t>
      </w:r>
      <w:r>
        <w:t xml:space="preserve"> </w:t>
      </w:r>
      <w:r w:rsidRPr="004E4538">
        <w:t>data do not include errors involving heparin lock flush). Nearly 60 percent of these errors reached the patient and nearly 3</w:t>
      </w:r>
      <w:r>
        <w:t xml:space="preserve"> </w:t>
      </w:r>
      <w:r w:rsidRPr="004E4538">
        <w:t>percent resulted in harm or death. Performance error (e.g., administration) is the most common cause of adverse events</w:t>
      </w:r>
      <w:r>
        <w:t xml:space="preserve"> </w:t>
      </w:r>
      <w:r w:rsidRPr="004E4538">
        <w:t>relating to anticoagulant medications.</w:t>
      </w:r>
      <w:r>
        <w:t xml:space="preserve">” </w:t>
      </w:r>
      <w:sdt>
        <w:sdtPr>
          <w:id w:val="851770935"/>
          <w:citation/>
        </w:sdtPr>
        <w:sdtContent>
          <w:fldSimple w:instr=" CITATION Com08 \l 1033 ">
            <w:r>
              <w:rPr>
                <w:noProof/>
              </w:rPr>
              <w:t>(Commission, 2008)</w:t>
            </w:r>
          </w:fldSimple>
        </w:sdtContent>
      </w:sdt>
    </w:p>
    <w:p w:rsidR="004E4538" w:rsidRDefault="004E4538" w:rsidP="004E4538">
      <w:pPr>
        <w:autoSpaceDE w:val="0"/>
        <w:autoSpaceDN w:val="0"/>
        <w:adjustRightInd w:val="0"/>
        <w:spacing w:after="0" w:line="240" w:lineRule="auto"/>
      </w:pPr>
      <w:r>
        <w:tab/>
      </w:r>
    </w:p>
    <w:p w:rsidR="004E4538" w:rsidRDefault="004E4538" w:rsidP="004E4538">
      <w:pPr>
        <w:autoSpaceDE w:val="0"/>
        <w:autoSpaceDN w:val="0"/>
        <w:adjustRightInd w:val="0"/>
        <w:spacing w:after="0" w:line="240" w:lineRule="auto"/>
      </w:pPr>
      <w:r>
        <w:tab/>
        <w:t xml:space="preserve">The most common medication errors were with those where low-molecular weight heparin, </w:t>
      </w:r>
      <w:proofErr w:type="spellStart"/>
      <w:r>
        <w:t>warfarin</w:t>
      </w:r>
      <w:proofErr w:type="spellEnd"/>
      <w:r>
        <w:t xml:space="preserve"> and </w:t>
      </w:r>
      <w:proofErr w:type="spellStart"/>
      <w:r>
        <w:t>unfractionated</w:t>
      </w:r>
      <w:proofErr w:type="spellEnd"/>
      <w:r>
        <w:t xml:space="preserve"> heparin were involved. </w:t>
      </w:r>
      <w:sdt>
        <w:sdtPr>
          <w:id w:val="851770936"/>
          <w:citation/>
        </w:sdtPr>
        <w:sdtContent>
          <w:fldSimple w:instr=" CITATION Com08 \l 1033 ">
            <w:r>
              <w:rPr>
                <w:noProof/>
              </w:rPr>
              <w:t>(Commission, 2008)</w:t>
            </w:r>
          </w:fldSimple>
        </w:sdtContent>
      </w:sdt>
    </w:p>
    <w:p w:rsidR="004E4538" w:rsidRDefault="004E4538" w:rsidP="004E4538">
      <w:pPr>
        <w:autoSpaceDE w:val="0"/>
        <w:autoSpaceDN w:val="0"/>
        <w:adjustRightInd w:val="0"/>
        <w:spacing w:after="0" w:line="240" w:lineRule="auto"/>
      </w:pPr>
    </w:p>
    <w:p w:rsidR="004E4538" w:rsidRDefault="004E4538" w:rsidP="004E4538">
      <w:pPr>
        <w:autoSpaceDE w:val="0"/>
        <w:autoSpaceDN w:val="0"/>
        <w:adjustRightInd w:val="0"/>
        <w:spacing w:after="0" w:line="240" w:lineRule="auto"/>
      </w:pPr>
      <w:r>
        <w:tab/>
        <w:t>Some of the contributing factors related to the medication errors are as follows:</w:t>
      </w:r>
    </w:p>
    <w:p w:rsidR="004E4538" w:rsidRDefault="004E4538" w:rsidP="004E4538">
      <w:pPr>
        <w:autoSpaceDE w:val="0"/>
        <w:autoSpaceDN w:val="0"/>
        <w:adjustRightInd w:val="0"/>
        <w:spacing w:after="0" w:line="240" w:lineRule="auto"/>
      </w:pPr>
      <w:r>
        <w:tab/>
      </w:r>
      <w:r>
        <w:tab/>
      </w:r>
    </w:p>
    <w:p w:rsidR="004E4538" w:rsidRDefault="004E4538" w:rsidP="004E4538">
      <w:pPr>
        <w:autoSpaceDE w:val="0"/>
        <w:autoSpaceDN w:val="0"/>
        <w:adjustRightInd w:val="0"/>
        <w:spacing w:after="0" w:line="240" w:lineRule="auto"/>
        <w:ind w:left="720"/>
      </w:pPr>
      <w:r>
        <w:tab/>
        <w:t>“</w:t>
      </w:r>
      <w:r w:rsidRPr="004E4538">
        <w:t>Lack of standardization for the naming, labeling and packaging of antic</w:t>
      </w:r>
      <w:r>
        <w:t xml:space="preserve">oagulants </w:t>
      </w:r>
      <w:r w:rsidRPr="004E4538">
        <w:t>creates</w:t>
      </w:r>
      <w:r>
        <w:t xml:space="preserve"> </w:t>
      </w:r>
      <w:r w:rsidRPr="004E4538">
        <w:t>confusion. For example, heparin flush syringes have been confused with LMW heparin</w:t>
      </w:r>
      <w:r>
        <w:t xml:space="preserve"> </w:t>
      </w:r>
      <w:r w:rsidRPr="004E4538">
        <w:t xml:space="preserve">syringes. In addition, other, lesser-known anticoagulant drug names exist (e.g., </w:t>
      </w:r>
      <w:proofErr w:type="spellStart"/>
      <w:r w:rsidRPr="004E4538">
        <w:t>enoxaparin</w:t>
      </w:r>
      <w:proofErr w:type="spellEnd"/>
      <w:r w:rsidRPr="004E4538">
        <w:t>,</w:t>
      </w:r>
      <w:r>
        <w:t xml:space="preserve"> </w:t>
      </w:r>
      <w:proofErr w:type="spellStart"/>
      <w:r w:rsidRPr="004E4538">
        <w:t>dalteparin</w:t>
      </w:r>
      <w:proofErr w:type="spellEnd"/>
      <w:r w:rsidRPr="004E4538">
        <w:t xml:space="preserve">, </w:t>
      </w:r>
      <w:proofErr w:type="spellStart"/>
      <w:r w:rsidRPr="004E4538">
        <w:t>tinzaparin</w:t>
      </w:r>
      <w:proofErr w:type="spellEnd"/>
      <w:r w:rsidRPr="004E4538">
        <w:t>) and are used less commonly, which can result in duplicate medication</w:t>
      </w:r>
      <w:r>
        <w:t xml:space="preserve"> </w:t>
      </w:r>
      <w:r w:rsidRPr="004E4538">
        <w:t>orders and erroneous dosing.</w:t>
      </w:r>
      <w:r>
        <w:t xml:space="preserve"> </w:t>
      </w:r>
      <w:r w:rsidRPr="004E4538">
        <w:t>Keeping current with different dosing regimens for various patient populations, newer assay</w:t>
      </w:r>
      <w:r>
        <w:t xml:space="preserve"> </w:t>
      </w:r>
      <w:r w:rsidRPr="004E4538">
        <w:t>methods, the expanding lists of drug interactions, and the potential reversal strategies can</w:t>
      </w:r>
      <w:r>
        <w:t xml:space="preserve"> </w:t>
      </w:r>
      <w:r w:rsidRPr="004E4538">
        <w:t>be a challenge for providers—especially those who infrequently prescribe or administer</w:t>
      </w:r>
      <w:r>
        <w:t xml:space="preserve"> </w:t>
      </w:r>
      <w:r w:rsidRPr="004E4538">
        <w:t>anticoagulants.</w:t>
      </w:r>
      <w:r>
        <w:t xml:space="preserve"> </w:t>
      </w:r>
      <w:r w:rsidRPr="004E4538">
        <w:t>The specific and individualized instructions and monitoring information (for example, dose</w:t>
      </w:r>
      <w:r>
        <w:t xml:space="preserve"> </w:t>
      </w:r>
      <w:r w:rsidRPr="004E4538">
        <w:t>adjustments, lab values, changing patient condition) that accompany the prescribing and</w:t>
      </w:r>
      <w:r>
        <w:t xml:space="preserve"> </w:t>
      </w:r>
      <w:r w:rsidRPr="004E4538">
        <w:t>administration of anticoagulants may fail to get documented or communicated during</w:t>
      </w:r>
      <w:r>
        <w:t xml:space="preserve"> transfers and hand-offs. </w:t>
      </w:r>
      <w:r w:rsidRPr="004E4538">
        <w:t>Neonates and other pediatric patients are problematic to treat, specifically because the</w:t>
      </w:r>
      <w:r>
        <w:t xml:space="preserve"> </w:t>
      </w:r>
      <w:r w:rsidRPr="004E4538">
        <w:t>medications are formulated and pa</w:t>
      </w:r>
      <w:r>
        <w:t xml:space="preserve">ckaged primarily for adults.”  </w:t>
      </w:r>
      <w:sdt>
        <w:sdtPr>
          <w:id w:val="851770937"/>
          <w:citation/>
        </w:sdtPr>
        <w:sdtContent>
          <w:fldSimple w:instr=" CITATION Com08 \l 1033 ">
            <w:r>
              <w:rPr>
                <w:noProof/>
              </w:rPr>
              <w:t>(Commission, 2008)</w:t>
            </w:r>
          </w:fldSimple>
        </w:sdtContent>
      </w:sdt>
    </w:p>
    <w:p w:rsidR="004E4538" w:rsidRDefault="004E4538" w:rsidP="004E4538">
      <w:pPr>
        <w:autoSpaceDE w:val="0"/>
        <w:autoSpaceDN w:val="0"/>
        <w:adjustRightInd w:val="0"/>
        <w:spacing w:after="0" w:line="240" w:lineRule="auto"/>
        <w:ind w:left="720"/>
      </w:pPr>
    </w:p>
    <w:p w:rsidR="004E4538" w:rsidRDefault="009E599B" w:rsidP="009E599B">
      <w:pPr>
        <w:autoSpaceDE w:val="0"/>
        <w:autoSpaceDN w:val="0"/>
        <w:adjustRightInd w:val="0"/>
        <w:spacing w:after="0" w:line="240" w:lineRule="auto"/>
        <w:ind w:firstLine="720"/>
      </w:pPr>
      <w:r>
        <w:t xml:space="preserve">Health care organizations that use anticoagulation therapy can use certain strategies to minimize the amount of medication errors happening in that facility. Those who manage the anticoagulation therapy such as pharmacy, physicians, nurses and case managers need to follow guidelines to decrease the medication being received in error. The Joint Commission is recommending implementing a pharmacist managed anticoagulant service that can assist all staff and patients being discharged with anticoagulation therapy. </w:t>
      </w:r>
      <w:proofErr w:type="gramStart"/>
      <w:r>
        <w:t>Also, implementing bar code scanning for administration, stocking and automated dispensing systems to decrease the risk of double dosing.</w:t>
      </w:r>
      <w:proofErr w:type="gramEnd"/>
      <w:r>
        <w:t xml:space="preserve"> </w:t>
      </w:r>
      <w:sdt>
        <w:sdtPr>
          <w:id w:val="851770938"/>
          <w:citation/>
        </w:sdtPr>
        <w:sdtContent>
          <w:fldSimple w:instr=" CITATION Com08 \l 1033 ">
            <w:r>
              <w:rPr>
                <w:noProof/>
              </w:rPr>
              <w:t>(Commission, 2008)</w:t>
            </w:r>
          </w:fldSimple>
        </w:sdtContent>
      </w:sdt>
    </w:p>
    <w:p w:rsidR="009E599B" w:rsidRDefault="009E599B" w:rsidP="009E599B">
      <w:pPr>
        <w:autoSpaceDE w:val="0"/>
        <w:autoSpaceDN w:val="0"/>
        <w:adjustRightInd w:val="0"/>
        <w:spacing w:after="0" w:line="240" w:lineRule="auto"/>
        <w:ind w:firstLine="720"/>
      </w:pPr>
    </w:p>
    <w:p w:rsidR="009E599B" w:rsidRDefault="009E599B" w:rsidP="009E599B">
      <w:pPr>
        <w:autoSpaceDE w:val="0"/>
        <w:autoSpaceDN w:val="0"/>
        <w:adjustRightInd w:val="0"/>
        <w:spacing w:after="0" w:line="240" w:lineRule="auto"/>
        <w:ind w:firstLine="720"/>
      </w:pPr>
      <w:r>
        <w:lastRenderedPageBreak/>
        <w:t>The Joint Commission is requiring that the National Patient Safety Goal 3E be implemented by January 1</w:t>
      </w:r>
      <w:r w:rsidRPr="009E599B">
        <w:rPr>
          <w:vertAlign w:val="superscript"/>
        </w:rPr>
        <w:t>st</w:t>
      </w:r>
      <w:r>
        <w:t xml:space="preserve">, 2009, which the implementation process includes checkpoint phases to maintain that the safety goal is being addressed as implicated by TJC.  There has been a list of suggestions made by TJC regarding anticoagulation use. </w:t>
      </w:r>
      <w:sdt>
        <w:sdtPr>
          <w:id w:val="851770939"/>
          <w:citation/>
        </w:sdtPr>
        <w:sdtContent>
          <w:fldSimple w:instr=" CITATION Com08 \l 1033 ">
            <w:r>
              <w:rPr>
                <w:noProof/>
              </w:rPr>
              <w:t>(Commission, 2008)</w:t>
            </w:r>
          </w:fldSimple>
        </w:sdtContent>
      </w:sdt>
      <w:r>
        <w:t xml:space="preserve"> As follows are suggested guidelines:</w:t>
      </w:r>
    </w:p>
    <w:p w:rsidR="009E599B" w:rsidRDefault="009E599B" w:rsidP="009E599B">
      <w:pPr>
        <w:autoSpaceDE w:val="0"/>
        <w:autoSpaceDN w:val="0"/>
        <w:adjustRightInd w:val="0"/>
        <w:spacing w:after="0" w:line="240" w:lineRule="auto"/>
        <w:ind w:firstLine="720"/>
      </w:pPr>
    </w:p>
    <w:p w:rsidR="009E599B" w:rsidRPr="009E599B" w:rsidRDefault="009E599B" w:rsidP="009E599B">
      <w:pPr>
        <w:autoSpaceDE w:val="0"/>
        <w:autoSpaceDN w:val="0"/>
        <w:adjustRightInd w:val="0"/>
        <w:spacing w:after="0" w:line="240" w:lineRule="auto"/>
        <w:rPr>
          <w:b/>
        </w:rPr>
      </w:pPr>
      <w:r>
        <w:tab/>
      </w:r>
      <w:r>
        <w:tab/>
        <w:t>“</w:t>
      </w:r>
      <w:r w:rsidRPr="009E599B">
        <w:rPr>
          <w:b/>
        </w:rPr>
        <w:t>For all anticoagulants:</w:t>
      </w:r>
    </w:p>
    <w:p w:rsidR="009E599B" w:rsidRPr="009E599B" w:rsidRDefault="009E599B" w:rsidP="009E599B">
      <w:pPr>
        <w:autoSpaceDE w:val="0"/>
        <w:autoSpaceDN w:val="0"/>
        <w:adjustRightInd w:val="0"/>
        <w:spacing w:after="0" w:line="240" w:lineRule="auto"/>
        <w:ind w:firstLine="720"/>
      </w:pPr>
      <w:r w:rsidRPr="009E599B">
        <w:t xml:space="preserve">1. Perform an organizational-wide risk assessment for anticoagulant therapy. </w:t>
      </w:r>
    </w:p>
    <w:p w:rsidR="009E599B" w:rsidRPr="009E599B" w:rsidRDefault="009E599B" w:rsidP="009E599B">
      <w:pPr>
        <w:autoSpaceDE w:val="0"/>
        <w:autoSpaceDN w:val="0"/>
        <w:adjustRightInd w:val="0"/>
        <w:spacing w:after="0" w:line="240" w:lineRule="auto"/>
        <w:ind w:firstLine="720"/>
      </w:pPr>
      <w:r w:rsidRPr="009E599B">
        <w:t xml:space="preserve">2. Use best practices or evidence-based guidelines regarding the use of anticoagulants. </w:t>
      </w:r>
    </w:p>
    <w:p w:rsidR="009E599B" w:rsidRPr="009E599B" w:rsidRDefault="009E599B" w:rsidP="009E599B">
      <w:pPr>
        <w:autoSpaceDE w:val="0"/>
        <w:autoSpaceDN w:val="0"/>
        <w:adjustRightInd w:val="0"/>
        <w:spacing w:after="0" w:line="240" w:lineRule="auto"/>
        <w:ind w:left="720"/>
      </w:pPr>
      <w:r w:rsidRPr="009E599B">
        <w:t>3. Establish organization-wide dose limits on anticoagulants and screen all</w:t>
      </w:r>
      <w:r>
        <w:t xml:space="preserve"> </w:t>
      </w:r>
      <w:r w:rsidRPr="009E599B">
        <w:t>orders for exceptions (i.e., require a confirmatory override by the physician).</w:t>
      </w:r>
    </w:p>
    <w:p w:rsidR="009E599B" w:rsidRPr="009E599B" w:rsidRDefault="009E599B" w:rsidP="009E599B">
      <w:pPr>
        <w:autoSpaceDE w:val="0"/>
        <w:autoSpaceDN w:val="0"/>
        <w:adjustRightInd w:val="0"/>
        <w:spacing w:after="0" w:line="240" w:lineRule="auto"/>
        <w:ind w:left="720"/>
      </w:pPr>
      <w:r w:rsidRPr="009E599B">
        <w:t>4. Clearly label or otherwise differentiate syringes and other containers used for anticoagulant drugs.</w:t>
      </w:r>
    </w:p>
    <w:p w:rsidR="009E599B" w:rsidRPr="009E599B" w:rsidRDefault="009E599B" w:rsidP="009E599B">
      <w:pPr>
        <w:autoSpaceDE w:val="0"/>
        <w:autoSpaceDN w:val="0"/>
        <w:adjustRightInd w:val="0"/>
        <w:spacing w:after="0" w:line="240" w:lineRule="auto"/>
        <w:ind w:firstLine="720"/>
      </w:pPr>
      <w:r w:rsidRPr="009E599B">
        <w:t>5. Clarify all anticoagulant dosing for pediatric patients.</w:t>
      </w:r>
    </w:p>
    <w:p w:rsidR="009E599B" w:rsidRPr="009E599B" w:rsidRDefault="009E599B" w:rsidP="009E599B">
      <w:pPr>
        <w:autoSpaceDE w:val="0"/>
        <w:autoSpaceDN w:val="0"/>
        <w:adjustRightInd w:val="0"/>
        <w:spacing w:after="0" w:line="240" w:lineRule="auto"/>
        <w:ind w:left="720"/>
      </w:pPr>
      <w:r w:rsidRPr="009E599B">
        <w:t>6. Promptly re-evaluate patients whose anticoagulant is being held for a procedure. The re-evaluation should include an</w:t>
      </w:r>
      <w:r>
        <w:t xml:space="preserve"> </w:t>
      </w:r>
      <w:r w:rsidRPr="009E599B">
        <w:t>assessment of the need to reorder anticoagulant therapy.</w:t>
      </w:r>
    </w:p>
    <w:p w:rsidR="009E599B" w:rsidRPr="009E599B" w:rsidRDefault="009E599B" w:rsidP="009E599B">
      <w:pPr>
        <w:autoSpaceDE w:val="0"/>
        <w:autoSpaceDN w:val="0"/>
        <w:adjustRightInd w:val="0"/>
        <w:spacing w:after="0" w:line="240" w:lineRule="auto"/>
        <w:ind w:left="720"/>
      </w:pPr>
      <w:r w:rsidRPr="009E599B">
        <w:t>7. Hospitals and ambulatory facilities (both hospital-owned/-managed and independent ambulatory care providers) should</w:t>
      </w:r>
      <w:r>
        <w:t xml:space="preserve"> </w:t>
      </w:r>
      <w:r w:rsidRPr="009E599B">
        <w:t>provide timely communication of all anticoagulant-associated lab values to the provider or the person managing the</w:t>
      </w:r>
      <w:r>
        <w:t xml:space="preserve"> </w:t>
      </w:r>
      <w:r w:rsidRPr="009E599B">
        <w:t>anticoagulation therapy.</w:t>
      </w:r>
    </w:p>
    <w:p w:rsidR="009E599B" w:rsidRPr="009E599B" w:rsidRDefault="009E599B" w:rsidP="009E599B">
      <w:pPr>
        <w:autoSpaceDE w:val="0"/>
        <w:autoSpaceDN w:val="0"/>
        <w:adjustRightInd w:val="0"/>
        <w:spacing w:after="0" w:line="240" w:lineRule="auto"/>
        <w:ind w:left="720"/>
      </w:pPr>
      <w:r w:rsidRPr="009E599B">
        <w:t xml:space="preserve">8. Under the supervision of clinical staff, educate and assist </w:t>
      </w:r>
      <w:proofErr w:type="spellStart"/>
      <w:r w:rsidRPr="009E599B">
        <w:t>inpatients</w:t>
      </w:r>
      <w:proofErr w:type="spellEnd"/>
      <w:r w:rsidRPr="009E599B">
        <w:t xml:space="preserve"> who require anticoagulant drugs to practice</w:t>
      </w:r>
      <w:r>
        <w:t xml:space="preserve"> </w:t>
      </w:r>
      <w:r w:rsidRPr="009E599B">
        <w:t>administering their own medications. This will help reduce the risk of errors after discharge.</w:t>
      </w:r>
    </w:p>
    <w:p w:rsidR="009E599B" w:rsidRPr="000126D8" w:rsidRDefault="009E599B" w:rsidP="009E599B">
      <w:pPr>
        <w:autoSpaceDE w:val="0"/>
        <w:autoSpaceDN w:val="0"/>
        <w:adjustRightInd w:val="0"/>
        <w:spacing w:after="0" w:line="240" w:lineRule="auto"/>
        <w:ind w:left="720"/>
        <w:rPr>
          <w:b/>
        </w:rPr>
      </w:pPr>
      <w:r w:rsidRPr="000126D8">
        <w:rPr>
          <w:b/>
        </w:rPr>
        <w:t>For heparin:</w:t>
      </w:r>
    </w:p>
    <w:p w:rsidR="009E599B" w:rsidRPr="009E599B" w:rsidRDefault="009E599B" w:rsidP="000126D8">
      <w:pPr>
        <w:autoSpaceDE w:val="0"/>
        <w:autoSpaceDN w:val="0"/>
        <w:adjustRightInd w:val="0"/>
        <w:spacing w:after="0" w:line="240" w:lineRule="auto"/>
        <w:ind w:left="720"/>
      </w:pPr>
      <w:r w:rsidRPr="009E599B">
        <w:t xml:space="preserve">9. Consolidate and limit the number of institutional </w:t>
      </w:r>
      <w:proofErr w:type="spellStart"/>
      <w:r w:rsidRPr="009E599B">
        <w:t>unfractionated</w:t>
      </w:r>
      <w:proofErr w:type="spellEnd"/>
      <w:r w:rsidRPr="009E599B">
        <w:t xml:space="preserve"> heparin dosing </w:t>
      </w:r>
      <w:proofErr w:type="spellStart"/>
      <w:r w:rsidRPr="009E599B">
        <w:t>nomograms</w:t>
      </w:r>
      <w:proofErr w:type="spellEnd"/>
      <w:r w:rsidRPr="009E599B">
        <w:t>. For all heparin</w:t>
      </w:r>
      <w:r>
        <w:t xml:space="preserve"> </w:t>
      </w:r>
      <w:r w:rsidRPr="009E599B">
        <w:t>medication orders (inpatient and outpatient), require prescribers to include the calculated dose and the dose per weight</w:t>
      </w:r>
      <w:r w:rsidR="000126D8">
        <w:t xml:space="preserve"> </w:t>
      </w:r>
      <w:r w:rsidRPr="009E599B">
        <w:t>(e.g. milligrams per kilogram) or body surface area to facilitate an independent double-check of the calculation by a</w:t>
      </w:r>
      <w:r w:rsidR="000126D8">
        <w:t xml:space="preserve"> </w:t>
      </w:r>
      <w:r w:rsidRPr="009E599B">
        <w:t xml:space="preserve">pharmacist, nurse or both. Note: For morbidly obese patients, the standard </w:t>
      </w:r>
      <w:proofErr w:type="spellStart"/>
      <w:r w:rsidRPr="009E599B">
        <w:t>nomograms</w:t>
      </w:r>
      <w:proofErr w:type="spellEnd"/>
      <w:r w:rsidRPr="009E599B">
        <w:t xml:space="preserve"> may not be accurate.</w:t>
      </w:r>
    </w:p>
    <w:p w:rsidR="009E599B" w:rsidRPr="009E599B" w:rsidRDefault="009E599B" w:rsidP="000126D8">
      <w:pPr>
        <w:autoSpaceDE w:val="0"/>
        <w:autoSpaceDN w:val="0"/>
        <w:adjustRightInd w:val="0"/>
        <w:spacing w:after="0" w:line="240" w:lineRule="auto"/>
        <w:ind w:left="720"/>
      </w:pPr>
      <w:r w:rsidRPr="009E599B">
        <w:t>10. Before the start of a heparin infusion and with each change of the container or rate of infusion, require an independent</w:t>
      </w:r>
      <w:r w:rsidR="000126D8">
        <w:t xml:space="preserve"> </w:t>
      </w:r>
      <w:r w:rsidRPr="009E599B">
        <w:t xml:space="preserve">double check of the drug, concentration, </w:t>
      </w:r>
      <w:proofErr w:type="gramStart"/>
      <w:r w:rsidRPr="009E599B">
        <w:t>dose</w:t>
      </w:r>
      <w:proofErr w:type="gramEnd"/>
      <w:r w:rsidRPr="009E599B">
        <w:t xml:space="preserve"> calculation, rate of infusion, pump settings, line attachment and patient</w:t>
      </w:r>
      <w:r w:rsidR="000126D8">
        <w:t xml:space="preserve"> </w:t>
      </w:r>
      <w:r w:rsidRPr="009E599B">
        <w:t>identity.</w:t>
      </w:r>
    </w:p>
    <w:p w:rsidR="009E599B" w:rsidRPr="009E599B" w:rsidRDefault="009E599B" w:rsidP="000126D8">
      <w:pPr>
        <w:autoSpaceDE w:val="0"/>
        <w:autoSpaceDN w:val="0"/>
        <w:adjustRightInd w:val="0"/>
        <w:spacing w:after="0" w:line="240" w:lineRule="auto"/>
        <w:ind w:left="720"/>
      </w:pPr>
      <w:r w:rsidRPr="009E599B">
        <w:t>11. Use heparin flush only for central lines and eliminate heparin flush of peripheral intravenous lines. Stock and use</w:t>
      </w:r>
      <w:r w:rsidR="000126D8">
        <w:t xml:space="preserve"> </w:t>
      </w:r>
      <w:r w:rsidRPr="009E599B">
        <w:t>only pre-filled syringes commercially prepared at set unit doses for flush solutions.</w:t>
      </w:r>
    </w:p>
    <w:p w:rsidR="009E599B" w:rsidRPr="009E599B" w:rsidRDefault="009E599B" w:rsidP="000126D8">
      <w:pPr>
        <w:autoSpaceDE w:val="0"/>
        <w:autoSpaceDN w:val="0"/>
        <w:adjustRightInd w:val="0"/>
        <w:spacing w:after="0" w:line="240" w:lineRule="auto"/>
        <w:ind w:left="720"/>
      </w:pPr>
      <w:r w:rsidRPr="009E599B">
        <w:t>12. Identify patients with heparin-induced antibodies and heparin-induced thrombocytopenia (HIT) to avoid life-threatening</w:t>
      </w:r>
      <w:r w:rsidR="000126D8">
        <w:t xml:space="preserve"> </w:t>
      </w:r>
      <w:r w:rsidRPr="009E599B">
        <w:t xml:space="preserve">events from heparin exposure. </w:t>
      </w:r>
    </w:p>
    <w:p w:rsidR="009E599B" w:rsidRPr="009E599B" w:rsidRDefault="009E599B" w:rsidP="000126D8">
      <w:pPr>
        <w:autoSpaceDE w:val="0"/>
        <w:autoSpaceDN w:val="0"/>
        <w:adjustRightInd w:val="0"/>
        <w:spacing w:after="0" w:line="240" w:lineRule="auto"/>
        <w:ind w:left="720"/>
      </w:pPr>
      <w:r w:rsidRPr="009E599B">
        <w:t>13. Dispense only preservative-free heparin to neonates and build an alert to pharmacists with this directive into order entry</w:t>
      </w:r>
      <w:r w:rsidR="000126D8">
        <w:t xml:space="preserve"> </w:t>
      </w:r>
      <w:r w:rsidRPr="009E599B">
        <w:t>systems.</w:t>
      </w:r>
    </w:p>
    <w:p w:rsidR="009E599B" w:rsidRPr="000126D8" w:rsidRDefault="009E599B" w:rsidP="009E599B">
      <w:pPr>
        <w:autoSpaceDE w:val="0"/>
        <w:autoSpaceDN w:val="0"/>
        <w:adjustRightInd w:val="0"/>
        <w:spacing w:after="0" w:line="240" w:lineRule="auto"/>
        <w:ind w:left="720"/>
        <w:rPr>
          <w:b/>
        </w:rPr>
      </w:pPr>
      <w:r w:rsidRPr="000126D8">
        <w:rPr>
          <w:b/>
        </w:rPr>
        <w:t xml:space="preserve">For </w:t>
      </w:r>
      <w:proofErr w:type="spellStart"/>
      <w:r w:rsidRPr="000126D8">
        <w:rPr>
          <w:b/>
        </w:rPr>
        <w:t>warfarin</w:t>
      </w:r>
      <w:proofErr w:type="spellEnd"/>
      <w:r w:rsidRPr="000126D8">
        <w:rPr>
          <w:b/>
        </w:rPr>
        <w:t>:</w:t>
      </w:r>
    </w:p>
    <w:p w:rsidR="009E599B" w:rsidRPr="009E599B" w:rsidRDefault="009E599B" w:rsidP="000126D8">
      <w:pPr>
        <w:autoSpaceDE w:val="0"/>
        <w:autoSpaceDN w:val="0"/>
        <w:adjustRightInd w:val="0"/>
        <w:spacing w:after="0" w:line="240" w:lineRule="auto"/>
        <w:ind w:left="720"/>
      </w:pPr>
      <w:r w:rsidRPr="009E599B">
        <w:t xml:space="preserve">14. Consider reports of INRs greater than three and episodes of vitamin K administration as possible indicators of </w:t>
      </w:r>
      <w:proofErr w:type="spellStart"/>
      <w:r w:rsidRPr="009E599B">
        <w:t>warfarin</w:t>
      </w:r>
      <w:proofErr w:type="spellEnd"/>
      <w:r w:rsidR="000126D8">
        <w:t xml:space="preserve"> </w:t>
      </w:r>
      <w:r w:rsidRPr="009E599B">
        <w:t>associated</w:t>
      </w:r>
      <w:r w:rsidR="000126D8">
        <w:t xml:space="preserve"> </w:t>
      </w:r>
      <w:r w:rsidRPr="009E599B">
        <w:t xml:space="preserve">adverse drug events and take immediate steps to address these events. </w:t>
      </w:r>
    </w:p>
    <w:p w:rsidR="009E599B" w:rsidRDefault="009E599B" w:rsidP="000126D8">
      <w:pPr>
        <w:autoSpaceDE w:val="0"/>
        <w:autoSpaceDN w:val="0"/>
        <w:adjustRightInd w:val="0"/>
        <w:spacing w:after="0" w:line="240" w:lineRule="auto"/>
        <w:ind w:left="720"/>
      </w:pPr>
      <w:r w:rsidRPr="009E599B">
        <w:t xml:space="preserve">15. Do not automatically discontinue </w:t>
      </w:r>
      <w:proofErr w:type="spellStart"/>
      <w:r w:rsidRPr="009E599B">
        <w:t>warfarin</w:t>
      </w:r>
      <w:proofErr w:type="spellEnd"/>
      <w:r w:rsidRPr="009E599B">
        <w:t xml:space="preserve"> according to automatic stop policies without verifying the drug’s indication and</w:t>
      </w:r>
      <w:r w:rsidR="000126D8">
        <w:t xml:space="preserve"> </w:t>
      </w:r>
      <w:r w:rsidRPr="009E599B">
        <w:t>contacting the prescriber.</w:t>
      </w:r>
      <w:r w:rsidR="000126D8">
        <w:t xml:space="preserve">” </w:t>
      </w:r>
      <w:sdt>
        <w:sdtPr>
          <w:id w:val="851770940"/>
          <w:citation/>
        </w:sdtPr>
        <w:sdtContent>
          <w:fldSimple w:instr=" CITATION Com08 \l 1033 ">
            <w:r w:rsidR="000126D8">
              <w:rPr>
                <w:noProof/>
              </w:rPr>
              <w:t>(Commission, 2008)</w:t>
            </w:r>
          </w:fldSimple>
        </w:sdtContent>
      </w:sdt>
    </w:p>
    <w:p w:rsidR="000126D8" w:rsidRDefault="000126D8" w:rsidP="000126D8">
      <w:pPr>
        <w:autoSpaceDE w:val="0"/>
        <w:autoSpaceDN w:val="0"/>
        <w:adjustRightInd w:val="0"/>
        <w:spacing w:after="0" w:line="240" w:lineRule="auto"/>
        <w:ind w:left="720"/>
      </w:pPr>
    </w:p>
    <w:p w:rsidR="000126D8" w:rsidRDefault="000126D8" w:rsidP="000126D8">
      <w:pPr>
        <w:autoSpaceDE w:val="0"/>
        <w:autoSpaceDN w:val="0"/>
        <w:adjustRightInd w:val="0"/>
        <w:spacing w:after="0" w:line="240" w:lineRule="auto"/>
        <w:ind w:firstLine="720"/>
      </w:pPr>
      <w:r>
        <w:t>These recommendations are all related to the National Patient Safety Goal 3E which states: “</w:t>
      </w:r>
      <w:r w:rsidRPr="000126D8">
        <w:t>Reduce the likelihood of patient harm associated with the use of anticoagulant therapy</w:t>
      </w:r>
      <w:r>
        <w:t xml:space="preserve">” </w:t>
      </w:r>
      <w:sdt>
        <w:sdtPr>
          <w:id w:val="851770941"/>
          <w:citation/>
        </w:sdtPr>
        <w:sdtContent>
          <w:fldSimple w:instr=" CITATION Com08 \l 1033 ">
            <w:r>
              <w:rPr>
                <w:noProof/>
              </w:rPr>
              <w:t>(Commission, 2008)</w:t>
            </w:r>
          </w:fldSimple>
        </w:sdtContent>
      </w:sdt>
      <w:r>
        <w:t xml:space="preserve">. With the implementation of these concepts, anticoagulants should be safer for patient use. </w:t>
      </w:r>
    </w:p>
    <w:p w:rsidR="000126D8" w:rsidRDefault="000126D8" w:rsidP="000126D8">
      <w:pPr>
        <w:autoSpaceDE w:val="0"/>
        <w:autoSpaceDN w:val="0"/>
        <w:adjustRightInd w:val="0"/>
        <w:spacing w:after="0" w:line="240" w:lineRule="auto"/>
        <w:ind w:firstLine="720"/>
      </w:pPr>
    </w:p>
    <w:p w:rsidR="000126D8" w:rsidRDefault="00EA2714" w:rsidP="00D73550">
      <w:pPr>
        <w:autoSpaceDE w:val="0"/>
        <w:autoSpaceDN w:val="0"/>
        <w:adjustRightInd w:val="0"/>
        <w:spacing w:after="0" w:line="240" w:lineRule="auto"/>
        <w:ind w:firstLine="720"/>
      </w:pPr>
      <w:r>
        <w:lastRenderedPageBreak/>
        <w:t xml:space="preserve">The University Health System that is affiliated with the University </w:t>
      </w:r>
      <w:proofErr w:type="gramStart"/>
      <w:r>
        <w:t>of</w:t>
      </w:r>
      <w:proofErr w:type="gramEnd"/>
      <w:r>
        <w:t xml:space="preserve"> Texas Science Center in San Antonio wrote an article about implementing National Patient Safety Goal 3E in their healthcare delivery system. The organization is comprised of 604 bed hospital with 9 satellite offices throughout San Antonio, Texas. The article, </w:t>
      </w:r>
      <w:r w:rsidRPr="00EA2714">
        <w:rPr>
          <w:i/>
        </w:rPr>
        <w:t>“Anticoagulation Patient Safety Goal Compliance at a University Health System: Methods for Achieving the Goal”</w:t>
      </w:r>
      <w:r>
        <w:t xml:space="preserve">, describes the steps their organization went through in order to implement the changes according to TJC. There were planned checkpoints at 3, 6, and 9 months to check the progress toward the goal. </w:t>
      </w:r>
      <w:sdt>
        <w:sdtPr>
          <w:id w:val="859899320"/>
          <w:citation/>
        </w:sdtPr>
        <w:sdtContent>
          <w:fldSimple w:instr=" CITATION Fra09 \p 777 \l 1033  ">
            <w:r>
              <w:rPr>
                <w:noProof/>
              </w:rPr>
              <w:t>(Franco &amp; Maxwell, 2009, p. 777)</w:t>
            </w:r>
          </w:fldSimple>
        </w:sdtContent>
      </w:sdt>
    </w:p>
    <w:p w:rsidR="00EA2714" w:rsidRDefault="00EA2714" w:rsidP="00EA2714">
      <w:pPr>
        <w:autoSpaceDE w:val="0"/>
        <w:autoSpaceDN w:val="0"/>
        <w:adjustRightInd w:val="0"/>
        <w:spacing w:after="0" w:line="240" w:lineRule="auto"/>
      </w:pPr>
    </w:p>
    <w:p w:rsidR="00EA2714" w:rsidRDefault="00EA2714" w:rsidP="00D73550">
      <w:pPr>
        <w:autoSpaceDE w:val="0"/>
        <w:autoSpaceDN w:val="0"/>
        <w:adjustRightInd w:val="0"/>
        <w:spacing w:after="0" w:line="240" w:lineRule="auto"/>
        <w:ind w:firstLine="720"/>
      </w:pPr>
      <w:r>
        <w:t xml:space="preserve">The first checkpoint the healthcare system needed to address was each organization needed to assign a leader for the coordination of implementing this safety goal in their organization. By the second checkpoint, there needed to be a plan developed and </w:t>
      </w:r>
      <w:r w:rsidR="005C0177">
        <w:t>timeline to identify accountability and resources in regards to implementing the goal. The university formed a committee specific to anticoagulants. This lead them on their way to implementing the plan into the healthcare system. The committee that was formed is composed of pharmacists, clinical specialists, doctors, nurses, and ancillary staff needed in order to coordinate a plan of care for each individual on anticoagulants. The committee</w:t>
      </w:r>
      <w:r w:rsidR="00D73550">
        <w:t xml:space="preserve"> (Anticoagulant Safety Committee – ASC)</w:t>
      </w:r>
      <w:r w:rsidR="005C0177">
        <w:t xml:space="preserve"> has organized, scheduled meetings in which goal 3E of TJC was discussed and they were addressing improving standardization practices for administering anticoagulants. The committee decided, “</w:t>
      </w:r>
      <w:r w:rsidR="005C0177" w:rsidRPr="005C0177">
        <w:t xml:space="preserve">Based on formulary availability, </w:t>
      </w:r>
      <w:proofErr w:type="spellStart"/>
      <w:r w:rsidR="005C0177" w:rsidRPr="005C0177">
        <w:t>volumeof</w:t>
      </w:r>
      <w:proofErr w:type="spellEnd"/>
      <w:r w:rsidR="005C0177" w:rsidRPr="005C0177">
        <w:t xml:space="preserve"> usage, and risk of potential</w:t>
      </w:r>
      <w:r w:rsidR="005C0177">
        <w:t xml:space="preserve"> </w:t>
      </w:r>
      <w:r w:rsidR="005C0177" w:rsidRPr="005C0177">
        <w:t>adverse events, it was decided by</w:t>
      </w:r>
      <w:r w:rsidR="005C0177">
        <w:t xml:space="preserve"> UHS ASC </w:t>
      </w:r>
      <w:r w:rsidR="005C0177" w:rsidRPr="005C0177">
        <w:t xml:space="preserve">that </w:t>
      </w:r>
      <w:proofErr w:type="spellStart"/>
      <w:r w:rsidR="005C0177" w:rsidRPr="005C0177">
        <w:t>fondaparinux</w:t>
      </w:r>
      <w:proofErr w:type="spellEnd"/>
      <w:r w:rsidR="005C0177" w:rsidRPr="005C0177">
        <w:t xml:space="preserve"> and</w:t>
      </w:r>
      <w:r w:rsidR="005C0177">
        <w:t xml:space="preserve"> </w:t>
      </w:r>
      <w:r w:rsidR="005C0177" w:rsidRPr="005C0177">
        <w:t>the direct thrombin inhibitors</w:t>
      </w:r>
      <w:r w:rsidR="005C0177">
        <w:t xml:space="preserve"> </w:t>
      </w:r>
      <w:r w:rsidR="005C0177" w:rsidRPr="005C0177">
        <w:t xml:space="preserve">(DTIs) </w:t>
      </w:r>
      <w:proofErr w:type="spellStart"/>
      <w:r w:rsidR="005C0177" w:rsidRPr="005C0177">
        <w:t>argatroban</w:t>
      </w:r>
      <w:proofErr w:type="spellEnd"/>
      <w:r w:rsidR="005C0177" w:rsidRPr="005C0177">
        <w:t xml:space="preserve"> and </w:t>
      </w:r>
      <w:proofErr w:type="spellStart"/>
      <w:r w:rsidR="005C0177" w:rsidRPr="005C0177">
        <w:t>lepirudin</w:t>
      </w:r>
      <w:proofErr w:type="spellEnd"/>
      <w:r w:rsidR="005C0177">
        <w:t xml:space="preserve"> </w:t>
      </w:r>
      <w:r w:rsidR="005C0177" w:rsidRPr="005C0177">
        <w:t>should be included in the policies</w:t>
      </w:r>
      <w:r w:rsidR="005C0177">
        <w:t xml:space="preserve"> </w:t>
      </w:r>
      <w:r w:rsidR="005C0177" w:rsidRPr="005C0177">
        <w:t>and protocols of the anticoagulation</w:t>
      </w:r>
      <w:r w:rsidR="005C0177">
        <w:t xml:space="preserve"> </w:t>
      </w:r>
      <w:r w:rsidR="005C0177" w:rsidRPr="005C0177">
        <w:t>program</w:t>
      </w:r>
      <w:r w:rsidR="005C0177">
        <w:t>”</w:t>
      </w:r>
      <w:sdt>
        <w:sdtPr>
          <w:id w:val="859899321"/>
          <w:citation/>
        </w:sdtPr>
        <w:sdtContent>
          <w:fldSimple w:instr=" CITATION Fra09 \p 777 \l 1033  ">
            <w:r w:rsidR="005C0177">
              <w:rPr>
                <w:noProof/>
              </w:rPr>
              <w:t xml:space="preserve"> (Franco &amp; Maxwell, 2009, p. 777)</w:t>
            </w:r>
          </w:fldSimple>
        </w:sdtContent>
      </w:sdt>
      <w:r w:rsidR="005C0177" w:rsidRPr="005C0177">
        <w:t>.</w:t>
      </w:r>
    </w:p>
    <w:p w:rsidR="005C0177" w:rsidRDefault="005C0177" w:rsidP="005C0177">
      <w:pPr>
        <w:autoSpaceDE w:val="0"/>
        <w:autoSpaceDN w:val="0"/>
        <w:adjustRightInd w:val="0"/>
        <w:spacing w:after="0" w:line="240" w:lineRule="auto"/>
      </w:pPr>
    </w:p>
    <w:p w:rsidR="005C0177" w:rsidRDefault="005C0177" w:rsidP="00D73550">
      <w:pPr>
        <w:autoSpaceDE w:val="0"/>
        <w:autoSpaceDN w:val="0"/>
        <w:adjustRightInd w:val="0"/>
        <w:spacing w:after="0" w:line="240" w:lineRule="auto"/>
        <w:ind w:firstLine="720"/>
      </w:pPr>
      <w:r>
        <w:t>Subdivisions of the committees were formed for certain types of anticoagulant issue classifications such as “</w:t>
      </w:r>
      <w:r w:rsidRPr="005C0177">
        <w:t>heparin-induced thrombocytopenia (HIT)</w:t>
      </w:r>
      <w:r>
        <w:t xml:space="preserve">” </w:t>
      </w:r>
      <w:sdt>
        <w:sdtPr>
          <w:id w:val="859899322"/>
          <w:citation/>
        </w:sdtPr>
        <w:sdtContent>
          <w:fldSimple w:instr=" CITATION Fra09 \p 777 \l 1033  ">
            <w:r>
              <w:rPr>
                <w:noProof/>
              </w:rPr>
              <w:t>(Franco &amp; Maxwell, 2009, p. 777)</w:t>
            </w:r>
          </w:fldSimple>
        </w:sdtContent>
      </w:sdt>
      <w:r>
        <w:t xml:space="preserve">, that way the members of that subdivision could do risk assessment and get the best management and treatment for this issue. </w:t>
      </w:r>
    </w:p>
    <w:p w:rsidR="005C0177" w:rsidRDefault="005C0177" w:rsidP="005C0177">
      <w:pPr>
        <w:autoSpaceDE w:val="0"/>
        <w:autoSpaceDN w:val="0"/>
        <w:adjustRightInd w:val="0"/>
        <w:spacing w:after="0" w:line="240" w:lineRule="auto"/>
      </w:pPr>
    </w:p>
    <w:p w:rsidR="00D73550" w:rsidRDefault="005C0177" w:rsidP="00D73550">
      <w:pPr>
        <w:autoSpaceDE w:val="0"/>
        <w:autoSpaceDN w:val="0"/>
        <w:adjustRightInd w:val="0"/>
        <w:spacing w:after="0" w:line="240" w:lineRule="auto"/>
        <w:ind w:firstLine="720"/>
      </w:pPr>
      <w:r>
        <w:t xml:space="preserve">The next step was to assess the already existing practices with anticoagulants. </w:t>
      </w:r>
      <w:r w:rsidR="00D73550">
        <w:t xml:space="preserve">The ASC decided to look at heparin and </w:t>
      </w:r>
      <w:proofErr w:type="spellStart"/>
      <w:r w:rsidR="00D73550">
        <w:t>warafrin</w:t>
      </w:r>
      <w:proofErr w:type="spellEnd"/>
      <w:r w:rsidR="00D73550">
        <w:t xml:space="preserve"> in the various settings among the organization,</w:t>
      </w:r>
    </w:p>
    <w:p w:rsidR="00D73550" w:rsidRDefault="00D73550" w:rsidP="00D73550">
      <w:pPr>
        <w:autoSpaceDE w:val="0"/>
        <w:autoSpaceDN w:val="0"/>
        <w:adjustRightInd w:val="0"/>
        <w:spacing w:after="0" w:line="240" w:lineRule="auto"/>
      </w:pPr>
    </w:p>
    <w:p w:rsidR="005C0177" w:rsidRPr="005C0177" w:rsidRDefault="00D73550" w:rsidP="00D73550">
      <w:pPr>
        <w:autoSpaceDE w:val="0"/>
        <w:autoSpaceDN w:val="0"/>
        <w:adjustRightInd w:val="0"/>
        <w:spacing w:after="0" w:line="240" w:lineRule="auto"/>
        <w:ind w:left="720" w:firstLine="720"/>
      </w:pPr>
      <w:r>
        <w:t xml:space="preserve"> “</w:t>
      </w:r>
      <w:r w:rsidRPr="00D73550">
        <w:t>The ASC initially chose to</w:t>
      </w:r>
      <w:r>
        <w:t xml:space="preserve"> </w:t>
      </w:r>
      <w:r w:rsidRPr="00D73550">
        <w:t xml:space="preserve">target heparin infusions and </w:t>
      </w:r>
      <w:proofErr w:type="spellStart"/>
      <w:r w:rsidRPr="00D73550">
        <w:t>warfarin</w:t>
      </w:r>
      <w:proofErr w:type="spellEnd"/>
      <w:r>
        <w:t xml:space="preserve"> </w:t>
      </w:r>
      <w:r w:rsidRPr="00D73550">
        <w:t>based on their narrow therapeutic</w:t>
      </w:r>
      <w:r>
        <w:t xml:space="preserve"> </w:t>
      </w:r>
      <w:r w:rsidRPr="00D73550">
        <w:t>indices, frequent monitoring,</w:t>
      </w:r>
      <w:r>
        <w:t xml:space="preserve"> </w:t>
      </w:r>
      <w:r w:rsidRPr="00D73550">
        <w:t>dose variability, and risk of</w:t>
      </w:r>
      <w:r>
        <w:t xml:space="preserve"> </w:t>
      </w:r>
      <w:r w:rsidRPr="00D73550">
        <w:t>adverse drug reactions (ADRs).</w:t>
      </w:r>
      <w:r>
        <w:t xml:space="preserve"> </w:t>
      </w:r>
      <w:r w:rsidRPr="00D73550">
        <w:t xml:space="preserve">Heparin infusion and </w:t>
      </w:r>
      <w:proofErr w:type="spellStart"/>
      <w:r w:rsidRPr="00D73550">
        <w:t>warfarin</w:t>
      </w:r>
      <w:proofErr w:type="spellEnd"/>
      <w:r>
        <w:t xml:space="preserve"> </w:t>
      </w:r>
      <w:r w:rsidRPr="00D73550">
        <w:t>drug usage analyses from August</w:t>
      </w:r>
      <w:r>
        <w:t xml:space="preserve"> </w:t>
      </w:r>
      <w:r w:rsidRPr="00D73550">
        <w:t>through October 2007 revealed</w:t>
      </w:r>
      <w:r>
        <w:t xml:space="preserve"> </w:t>
      </w:r>
      <w:r w:rsidRPr="00D73550">
        <w:t>871 and 1,375 patient-days and an</w:t>
      </w:r>
      <w:r>
        <w:t xml:space="preserve"> </w:t>
      </w:r>
      <w:r w:rsidRPr="00D73550">
        <w:t>average of 9 and 15 patients per</w:t>
      </w:r>
      <w:r>
        <w:t xml:space="preserve"> </w:t>
      </w:r>
      <w:r w:rsidRPr="00D73550">
        <w:t>day receiving heparin infusions</w:t>
      </w:r>
      <w:r>
        <w:t xml:space="preserve"> </w:t>
      </w:r>
      <w:r w:rsidRPr="00D73550">
        <w:t xml:space="preserve">and </w:t>
      </w:r>
      <w:proofErr w:type="spellStart"/>
      <w:r w:rsidRPr="00D73550">
        <w:t>warfarin</w:t>
      </w:r>
      <w:proofErr w:type="spellEnd"/>
      <w:r w:rsidRPr="00D73550">
        <w:t>, respectively.</w:t>
      </w:r>
      <w:r>
        <w:t xml:space="preserve">” </w:t>
      </w:r>
      <w:sdt>
        <w:sdtPr>
          <w:id w:val="859899323"/>
          <w:citation/>
        </w:sdtPr>
        <w:sdtContent>
          <w:fldSimple w:instr=" CITATION Fra09 \p 778 \l 1033  ">
            <w:r>
              <w:rPr>
                <w:noProof/>
              </w:rPr>
              <w:t>(Franco &amp; Maxwell, 2009, p. 778)</w:t>
            </w:r>
          </w:fldSimple>
        </w:sdtContent>
      </w:sdt>
    </w:p>
    <w:p w:rsidR="004E4538" w:rsidRDefault="004E4538" w:rsidP="004E4538">
      <w:pPr>
        <w:autoSpaceDE w:val="0"/>
        <w:autoSpaceDN w:val="0"/>
        <w:adjustRightInd w:val="0"/>
        <w:spacing w:after="0" w:line="240" w:lineRule="auto"/>
        <w:ind w:left="720"/>
      </w:pPr>
    </w:p>
    <w:p w:rsidR="00D73550" w:rsidRDefault="00D73550" w:rsidP="003E4600">
      <w:pPr>
        <w:autoSpaceDE w:val="0"/>
        <w:autoSpaceDN w:val="0"/>
        <w:adjustRightInd w:val="0"/>
        <w:spacing w:after="0" w:line="240" w:lineRule="auto"/>
        <w:ind w:firstLine="720"/>
      </w:pPr>
      <w:r>
        <w:t>Most of these patients were from the general surgery or adult medicine areas of healthcare. Of the average INR results from these patients it was determined that an INR greater than 3.5 was an area needing improvement and further monitoring, “</w:t>
      </w:r>
      <w:r w:rsidRPr="00D73550">
        <w:t>To assess adverse</w:t>
      </w:r>
      <w:r>
        <w:t xml:space="preserve"> </w:t>
      </w:r>
      <w:r w:rsidRPr="00D73550">
        <w:t>events related to heparin infusions,</w:t>
      </w:r>
      <w:r>
        <w:t xml:space="preserve"> </w:t>
      </w:r>
      <w:r w:rsidRPr="00D73550">
        <w:t xml:space="preserve">a </w:t>
      </w:r>
      <w:proofErr w:type="spellStart"/>
      <w:r w:rsidRPr="00D73550">
        <w:t>protamine</w:t>
      </w:r>
      <w:proofErr w:type="spellEnd"/>
      <w:r w:rsidRPr="00D73550">
        <w:t xml:space="preserve"> DUE was also conducted.</w:t>
      </w:r>
      <w:r>
        <w:t xml:space="preserve"> </w:t>
      </w:r>
      <w:r w:rsidRPr="00D73550">
        <w:t>The results demonstrated</w:t>
      </w:r>
      <w:r>
        <w:t xml:space="preserve"> </w:t>
      </w:r>
      <w:r w:rsidRPr="00D73550">
        <w:t>that 28 of the 30 patients evaluated</w:t>
      </w:r>
      <w:r>
        <w:t xml:space="preserve"> </w:t>
      </w:r>
      <w:r w:rsidRPr="00D73550">
        <w:t xml:space="preserve">received </w:t>
      </w:r>
      <w:proofErr w:type="spellStart"/>
      <w:r w:rsidRPr="00D73550">
        <w:t>protamine</w:t>
      </w:r>
      <w:proofErr w:type="spellEnd"/>
      <w:r w:rsidRPr="00D73550">
        <w:t xml:space="preserve"> as part of a</w:t>
      </w:r>
      <w:r>
        <w:t xml:space="preserve"> </w:t>
      </w:r>
      <w:r w:rsidRPr="00D73550">
        <w:t>routine protocol during cardiopulmonary</w:t>
      </w:r>
      <w:r>
        <w:t xml:space="preserve"> </w:t>
      </w:r>
      <w:r w:rsidRPr="00D73550">
        <w:t>bypass, and no unexpected</w:t>
      </w:r>
      <w:r>
        <w:t xml:space="preserve"> </w:t>
      </w:r>
      <w:r w:rsidRPr="00D73550">
        <w:t>adverse events from heparin were</w:t>
      </w:r>
      <w:r>
        <w:t xml:space="preserve"> identified </w:t>
      </w:r>
      <w:sdt>
        <w:sdtPr>
          <w:id w:val="859899324"/>
          <w:citation/>
        </w:sdtPr>
        <w:sdtContent>
          <w:fldSimple w:instr=" CITATION Fra09 \p 779 \l 1033  ">
            <w:r>
              <w:rPr>
                <w:noProof/>
              </w:rPr>
              <w:t>(Franco &amp; Maxwell, 2009, p. 779)</w:t>
            </w:r>
          </w:fldSimple>
        </w:sdtContent>
      </w:sdt>
      <w:r>
        <w:t xml:space="preserve">.” The adverse reactions were calculated, and then used to evaluate the implementation of the goal 3E. A heparin administration protocol was developed and then implemented in the general surgery aspect of the health care organization, and after the pilot procedure, would be moved into other clinical areas. </w:t>
      </w:r>
      <w:r w:rsidR="000C4A06">
        <w:t xml:space="preserve">The protocols addressed the laboratory monitoring for heparin and </w:t>
      </w:r>
      <w:proofErr w:type="spellStart"/>
      <w:r w:rsidR="000C4A06">
        <w:t>warafrin</w:t>
      </w:r>
      <w:proofErr w:type="spellEnd"/>
      <w:r w:rsidR="000C4A06">
        <w:t xml:space="preserve">. 83% of patients taking </w:t>
      </w:r>
      <w:proofErr w:type="spellStart"/>
      <w:r w:rsidR="000C4A06">
        <w:t>warafrin</w:t>
      </w:r>
      <w:proofErr w:type="spellEnd"/>
      <w:r w:rsidR="000C4A06">
        <w:t xml:space="preserve"> had an INR within 5 days of the start dose. The mean INR’s were 3.9 in medicine and 4.8 in surgery, there was some, but not much improvement with the decrease of the mean INR being 3.3 in medicine but a </w:t>
      </w:r>
      <w:r w:rsidR="000C4A06">
        <w:lastRenderedPageBreak/>
        <w:t xml:space="preserve">decrease to  1.9 in surgery. </w:t>
      </w:r>
      <w:sdt>
        <w:sdtPr>
          <w:id w:val="859899326"/>
          <w:citation/>
        </w:sdtPr>
        <w:sdtContent>
          <w:fldSimple w:instr=" CITATION Fra09 \p 779 \l 1033  ">
            <w:r w:rsidR="000C4A06">
              <w:rPr>
                <w:noProof/>
              </w:rPr>
              <w:t>(Franco &amp; Maxwell, 2009, p. 779)</w:t>
            </w:r>
          </w:fldSimple>
        </w:sdtContent>
      </w:sdt>
      <w:r w:rsidR="000C4A06">
        <w:t xml:space="preserve"> For general medicine the future goal is to have the pharmacist be aware of the lab values before dispensing </w:t>
      </w:r>
      <w:proofErr w:type="spellStart"/>
      <w:r w:rsidR="000C4A06">
        <w:t>warafrin</w:t>
      </w:r>
      <w:proofErr w:type="spellEnd"/>
      <w:r w:rsidR="000C4A06">
        <w:t xml:space="preserve">. The dietary department was also included to inform the patient/doctor of an appropriate diet to consume while on </w:t>
      </w:r>
      <w:proofErr w:type="spellStart"/>
      <w:r w:rsidR="000C4A06">
        <w:t>warafrin</w:t>
      </w:r>
      <w:proofErr w:type="spellEnd"/>
      <w:r w:rsidR="000C4A06">
        <w:t xml:space="preserve">. The hospital also implemented inpatient pharmacy managed anticoagulation services based on the recommendation by TJC. </w:t>
      </w:r>
      <w:sdt>
        <w:sdtPr>
          <w:id w:val="859899327"/>
          <w:citation/>
        </w:sdtPr>
        <w:sdtContent>
          <w:fldSimple w:instr=" CITATION Fra09 \p 780 \l 1033  ">
            <w:r w:rsidR="000C4A06">
              <w:rPr>
                <w:noProof/>
              </w:rPr>
              <w:t>(Franco &amp; Maxwell, 2009, p. 780)</w:t>
            </w:r>
          </w:fldSimple>
        </w:sdtContent>
      </w:sdt>
    </w:p>
    <w:p w:rsidR="000C4A06" w:rsidRDefault="000C4A06" w:rsidP="00D73550">
      <w:pPr>
        <w:autoSpaceDE w:val="0"/>
        <w:autoSpaceDN w:val="0"/>
        <w:adjustRightInd w:val="0"/>
        <w:spacing w:after="0" w:line="240" w:lineRule="auto"/>
      </w:pPr>
    </w:p>
    <w:p w:rsidR="000C4A06" w:rsidRDefault="000C4A06" w:rsidP="00D73550">
      <w:pPr>
        <w:autoSpaceDE w:val="0"/>
        <w:autoSpaceDN w:val="0"/>
        <w:adjustRightInd w:val="0"/>
        <w:spacing w:after="0" w:line="240" w:lineRule="auto"/>
      </w:pPr>
      <w:r>
        <w:tab/>
        <w:t xml:space="preserve">In conclusion, every healthcare organization was put to the test to develop a plan to implement anticoagulants more safely to patients. This is a multidisciplinary team effort, and given the time allotted for the implementation of the goal, the </w:t>
      </w:r>
      <w:r w:rsidR="003E4600">
        <w:t xml:space="preserve">University Healthcare Systems affiliated with the San Antonio Texas area were successfully able to put into working order the program coordination and reach the goal set forth by TJC. </w:t>
      </w:r>
      <w:sdt>
        <w:sdtPr>
          <w:id w:val="859899328"/>
          <w:citation/>
        </w:sdtPr>
        <w:sdtContent>
          <w:fldSimple w:instr=" CITATION Fra09 \p 780-781 \l 1033  ">
            <w:r w:rsidR="003E4600">
              <w:rPr>
                <w:noProof/>
              </w:rPr>
              <w:t>(Franco &amp; Maxwell, 2009, pp. 780-781)</w:t>
            </w:r>
          </w:fldSimple>
        </w:sdtContent>
      </w:sdt>
    </w:p>
    <w:p w:rsidR="000C4A06" w:rsidRDefault="000C4A06" w:rsidP="00D73550">
      <w:pPr>
        <w:autoSpaceDE w:val="0"/>
        <w:autoSpaceDN w:val="0"/>
        <w:adjustRightInd w:val="0"/>
        <w:spacing w:after="0" w:line="240" w:lineRule="auto"/>
      </w:pPr>
    </w:p>
    <w:p w:rsidR="000C4A06" w:rsidRPr="00294440" w:rsidRDefault="000C4A06" w:rsidP="00D73550">
      <w:pPr>
        <w:autoSpaceDE w:val="0"/>
        <w:autoSpaceDN w:val="0"/>
        <w:adjustRightInd w:val="0"/>
        <w:spacing w:after="0" w:line="240" w:lineRule="auto"/>
      </w:pPr>
      <w:r>
        <w:tab/>
      </w:r>
    </w:p>
    <w:sectPr w:rsidR="000C4A06" w:rsidRPr="00294440" w:rsidSect="009170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94440"/>
    <w:rsid w:val="000126D8"/>
    <w:rsid w:val="000C4A06"/>
    <w:rsid w:val="001329BB"/>
    <w:rsid w:val="00294440"/>
    <w:rsid w:val="003E4600"/>
    <w:rsid w:val="004E4538"/>
    <w:rsid w:val="005C0177"/>
    <w:rsid w:val="00917089"/>
    <w:rsid w:val="009E599B"/>
    <w:rsid w:val="00D73550"/>
    <w:rsid w:val="00EA27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0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5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Com08</b:Tag>
    <b:SourceType>InternetSite</b:SourceType>
    <b:Guid>{FD1F91EB-6FB9-4573-A5E1-B37E285F92D8}</b:Guid>
    <b:LCID>0</b:LCID>
    <b:Author>
      <b:Author>
        <b:NameList>
          <b:Person>
            <b:Last>Commission</b:Last>
            <b:First>The</b:First>
            <b:Middle>Joint</b:Middle>
          </b:Person>
        </b:NameList>
      </b:Author>
    </b:Author>
    <b:Title>Preventing errors relating to commonly used anticoagulants</b:Title>
    <b:Year>2008</b:Year>
    <b:InternetSiteTitle>The Joint Commission</b:InternetSiteTitle>
    <b:Month>September</b:Month>
    <b:Day>24th</b:Day>
    <b:YearAccessed>2012</b:YearAccessed>
    <b:MonthAccessed>March</b:MonthAccessed>
    <b:DayAccessed>25th</b:DayAccessed>
    <b:URL>http://www.jointcommission.org/SentinelEvents/SentinelEventAlert/sea_41</b:URL>
    <b:RefOrder>1</b:RefOrder>
  </b:Source>
  <b:Source>
    <b:Tag>Fra09</b:Tag>
    <b:SourceType>JournalArticle</b:SourceType>
    <b:Guid>{775F1890-6842-4C2A-A869-B604C516A572}</b:Guid>
    <b:LCID>0</b:LCID>
    <b:Author>
      <b:Author>
        <b:NameList>
          <b:Person>
            <b:Last>Franco</b:Last>
            <b:First>Ana</b:First>
            <b:Middle>Crystal</b:Middle>
          </b:Person>
          <b:Person>
            <b:Last>Maxwell</b:Last>
            <b:First>Pamela</b:First>
          </b:Person>
        </b:NameList>
      </b:Author>
    </b:Author>
    <b:Title>Anticoagulation Patient Safety Goal</b:Title>
    <b:Year>2009</b:Year>
    <b:JournalName>Hospital Pharmacy</b:JournalName>
    <b:Pages>776–780, 784</b:Pages>
    <b:Publisher>Wolters Kluwer Health, Inc.</b:Publisher>
    <b:Volume>Volume 44</b:Volume>
    <b:Issue>No. 9</b:Issue>
    <b:RefOrder>2</b:RefOrder>
  </b:Source>
</b:Sources>
</file>

<file path=customXml/itemProps1.xml><?xml version="1.0" encoding="utf-8"?>
<ds:datastoreItem xmlns:ds="http://schemas.openxmlformats.org/officeDocument/2006/customXml" ds:itemID="{E8C448C9-785D-42F4-BD26-E0C172616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2</cp:revision>
  <dcterms:created xsi:type="dcterms:W3CDTF">2012-03-25T21:06:00Z</dcterms:created>
  <dcterms:modified xsi:type="dcterms:W3CDTF">2012-03-26T00:32:00Z</dcterms:modified>
</cp:coreProperties>
</file>