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65" w:rsidRPr="00A52B95" w:rsidRDefault="004E46CA">
      <w:pPr>
        <w:rPr>
          <w:rFonts w:ascii="Times New Roman" w:hAnsi="Times New Roman" w:cs="Times New Roman"/>
          <w:b/>
          <w:sz w:val="24"/>
          <w:szCs w:val="24"/>
        </w:rPr>
      </w:pPr>
      <w:r w:rsidRPr="00A52B95">
        <w:rPr>
          <w:rFonts w:ascii="Times New Roman" w:hAnsi="Times New Roman" w:cs="Times New Roman"/>
          <w:b/>
          <w:sz w:val="24"/>
          <w:szCs w:val="24"/>
        </w:rPr>
        <w:t>Explore the Quality and Safety Education for Nurses:</w:t>
      </w:r>
    </w:p>
    <w:p w:rsidR="009D60DF" w:rsidRPr="00A52B95" w:rsidRDefault="009D60DF" w:rsidP="009D60DF">
      <w:pPr>
        <w:jc w:val="both"/>
        <w:rPr>
          <w:rFonts w:ascii="Times New Roman" w:hAnsi="Times New Roman" w:cs="Times New Roman"/>
          <w:sz w:val="24"/>
          <w:szCs w:val="24"/>
        </w:rPr>
      </w:pPr>
      <w:r w:rsidRPr="00A52B95">
        <w:rPr>
          <w:rFonts w:ascii="Times New Roman" w:hAnsi="Times New Roman" w:cs="Times New Roman"/>
          <w:sz w:val="24"/>
          <w:szCs w:val="24"/>
        </w:rPr>
        <w:t xml:space="preserve">Quality improvement and safety education are topics that all nurses and healthcare professionals will encounter in some way, shape, or form in any area they are employed. Most hospitals have quality improvement teams that continually work towards improving areas such as overall patient and employee satisfaction. These teams also play a role in helping an organization meet the Joint Commission’s National Patient Safety Goals. </w:t>
      </w:r>
    </w:p>
    <w:p w:rsidR="00325E71" w:rsidRPr="00A52B95" w:rsidRDefault="00325E71" w:rsidP="009D60DF">
      <w:pPr>
        <w:jc w:val="both"/>
        <w:rPr>
          <w:rFonts w:ascii="Times New Roman" w:hAnsi="Times New Roman" w:cs="Times New Roman"/>
          <w:sz w:val="24"/>
          <w:szCs w:val="24"/>
        </w:rPr>
      </w:pPr>
      <w:r w:rsidRPr="00A52B95">
        <w:rPr>
          <w:rFonts w:ascii="Times New Roman" w:hAnsi="Times New Roman" w:cs="Times New Roman"/>
          <w:sz w:val="24"/>
          <w:szCs w:val="24"/>
        </w:rPr>
        <w:t xml:space="preserve">The text </w:t>
      </w:r>
      <w:r w:rsidRPr="00A52B95">
        <w:rPr>
          <w:rFonts w:ascii="Times New Roman" w:hAnsi="Times New Roman" w:cs="Times New Roman"/>
          <w:i/>
          <w:sz w:val="24"/>
          <w:szCs w:val="24"/>
        </w:rPr>
        <w:t>Nursing Today Transitions and Trends</w:t>
      </w:r>
      <w:r w:rsidRPr="00A52B95">
        <w:rPr>
          <w:rFonts w:ascii="Times New Roman" w:hAnsi="Times New Roman" w:cs="Times New Roman"/>
          <w:sz w:val="24"/>
          <w:szCs w:val="24"/>
        </w:rPr>
        <w:t xml:space="preserve"> defines the phrase qu</w:t>
      </w:r>
      <w:r w:rsidR="00A54558">
        <w:rPr>
          <w:rFonts w:ascii="Times New Roman" w:hAnsi="Times New Roman" w:cs="Times New Roman"/>
          <w:sz w:val="24"/>
          <w:szCs w:val="24"/>
        </w:rPr>
        <w:t xml:space="preserve">ality improvement as being the </w:t>
      </w:r>
      <w:r w:rsidRPr="00A52B95">
        <w:rPr>
          <w:rFonts w:ascii="Times New Roman" w:hAnsi="Times New Roman" w:cs="Times New Roman"/>
          <w:sz w:val="24"/>
          <w:szCs w:val="24"/>
        </w:rPr>
        <w:t>“process or activities that are used to measure, monitor, evaluate, and control services, so that we can provide some measure of confidence to health care consumers</w:t>
      </w:r>
      <w:r w:rsidR="001340C4" w:rsidRPr="00A52B95">
        <w:rPr>
          <w:rFonts w:ascii="Times New Roman" w:hAnsi="Times New Roman" w:cs="Times New Roman"/>
          <w:sz w:val="24"/>
          <w:szCs w:val="24"/>
        </w:rPr>
        <w:t>”</w:t>
      </w:r>
      <w:r w:rsidRPr="00A52B95">
        <w:rPr>
          <w:rFonts w:ascii="Times New Roman" w:hAnsi="Times New Roman" w:cs="Times New Roman"/>
          <w:sz w:val="24"/>
          <w:szCs w:val="24"/>
        </w:rPr>
        <w:t xml:space="preserve"> (Zerwekh &amp; Garneau, 2012, p. 485). An example of a specific process that can be utilized to track progress is an incidence report, also known as a quality improvement report (QI) or variance report. The QI department is typically the department that receives data, analyzes trends, and recommends actions to facilitate improvement in the organization</w:t>
      </w:r>
      <w:r w:rsidR="007C63A6" w:rsidRPr="00A52B95">
        <w:rPr>
          <w:rFonts w:ascii="Times New Roman" w:hAnsi="Times New Roman" w:cs="Times New Roman"/>
          <w:sz w:val="24"/>
          <w:szCs w:val="24"/>
        </w:rPr>
        <w:t xml:space="preserve"> (Zerwekh &amp; Garneau, 2012, p. 485). The QI department closely monitors the quality indicators of a department. A quality indicator is ”data that indicate whether high-quality care is being maintained</w:t>
      </w:r>
      <w:r w:rsidR="001340C4" w:rsidRPr="00A52B95">
        <w:rPr>
          <w:rFonts w:ascii="Times New Roman" w:hAnsi="Times New Roman" w:cs="Times New Roman"/>
          <w:sz w:val="24"/>
          <w:szCs w:val="24"/>
        </w:rPr>
        <w:t>”</w:t>
      </w:r>
      <w:r w:rsidR="007C63A6" w:rsidRPr="00A52B95">
        <w:rPr>
          <w:rFonts w:ascii="Times New Roman" w:hAnsi="Times New Roman" w:cs="Times New Roman"/>
          <w:sz w:val="24"/>
          <w:szCs w:val="24"/>
        </w:rPr>
        <w:t xml:space="preserve"> (Zerwekh &amp; Garneau, 2012, p. 486). An example of a quality indicator on a surgical unit might be monitoring IV lines for correct labeling. </w:t>
      </w:r>
    </w:p>
    <w:p w:rsidR="003C1319" w:rsidRPr="00A52B95" w:rsidRDefault="003C1319" w:rsidP="009D60DF">
      <w:pPr>
        <w:jc w:val="both"/>
        <w:rPr>
          <w:rFonts w:ascii="Times New Roman" w:hAnsi="Times New Roman" w:cs="Times New Roman"/>
          <w:sz w:val="24"/>
          <w:szCs w:val="24"/>
        </w:rPr>
      </w:pPr>
      <w:r w:rsidRPr="00A52B95">
        <w:rPr>
          <w:rFonts w:ascii="Times New Roman" w:hAnsi="Times New Roman" w:cs="Times New Roman"/>
          <w:sz w:val="24"/>
          <w:szCs w:val="24"/>
        </w:rPr>
        <w:t xml:space="preserve">I was assigned to evaluate the website www.qsen.org and review its usefulness to the nurse. </w:t>
      </w:r>
      <w:r w:rsidR="001340C4" w:rsidRPr="00A52B95">
        <w:rPr>
          <w:rFonts w:ascii="Times New Roman" w:hAnsi="Times New Roman" w:cs="Times New Roman"/>
          <w:sz w:val="24"/>
          <w:szCs w:val="24"/>
        </w:rPr>
        <w:t>The QSEN Institute’s mission is one of supporting quality and safety education. It was launched in 2007 and features teaching strategies and resources. It is now hosted by the faculty team at Case Western Reserve University. One of the Institute’s main goals is to “examine key content areas including: patient-centered care, professional communication, teamwork and collaboration, evidence-based practice, informatics, systems-thinking and improvement, and error reduction, human factors theory and safety” (</w:t>
      </w:r>
      <w:r w:rsidR="006C54F2" w:rsidRPr="00A52B95">
        <w:rPr>
          <w:rFonts w:ascii="Times New Roman" w:hAnsi="Times New Roman" w:cs="Times New Roman"/>
          <w:sz w:val="24"/>
          <w:szCs w:val="24"/>
        </w:rPr>
        <w:t xml:space="preserve">About, 2013). Another goal of QSEN is to assist nursing educators to discover effective ways to promote student learning via a range of strategies for clinical, the classroom, and simulation-based experiences (About, 2013). </w:t>
      </w:r>
    </w:p>
    <w:p w:rsidR="006C54F2" w:rsidRPr="00A52B95" w:rsidRDefault="006C54F2" w:rsidP="009D60DF">
      <w:pPr>
        <w:jc w:val="both"/>
        <w:rPr>
          <w:rFonts w:ascii="Times New Roman" w:hAnsi="Times New Roman" w:cs="Times New Roman"/>
          <w:b/>
          <w:sz w:val="24"/>
          <w:szCs w:val="24"/>
        </w:rPr>
      </w:pPr>
      <w:r w:rsidRPr="00A52B95">
        <w:rPr>
          <w:rFonts w:ascii="Times New Roman" w:hAnsi="Times New Roman" w:cs="Times New Roman"/>
          <w:b/>
          <w:sz w:val="24"/>
          <w:szCs w:val="24"/>
        </w:rPr>
        <w:t xml:space="preserve">Evaluation of Website: </w:t>
      </w:r>
    </w:p>
    <w:p w:rsidR="006C54F2" w:rsidRPr="00A52B95" w:rsidRDefault="006C54F2" w:rsidP="009D60DF">
      <w:pPr>
        <w:jc w:val="both"/>
        <w:rPr>
          <w:rFonts w:ascii="Times New Roman" w:hAnsi="Times New Roman" w:cs="Times New Roman"/>
          <w:sz w:val="24"/>
          <w:szCs w:val="24"/>
        </w:rPr>
      </w:pPr>
      <w:r w:rsidRPr="00A52B95">
        <w:rPr>
          <w:rFonts w:ascii="Times New Roman" w:hAnsi="Times New Roman" w:cs="Times New Roman"/>
          <w:b/>
          <w:sz w:val="24"/>
          <w:szCs w:val="24"/>
        </w:rPr>
        <w:t>Authority:</w:t>
      </w:r>
      <w:r w:rsidR="007245D5" w:rsidRPr="00A52B95">
        <w:rPr>
          <w:rFonts w:ascii="Times New Roman" w:hAnsi="Times New Roman" w:cs="Times New Roman"/>
          <w:b/>
          <w:sz w:val="24"/>
          <w:szCs w:val="24"/>
        </w:rPr>
        <w:t xml:space="preserve"> </w:t>
      </w:r>
      <w:r w:rsidR="006E181B" w:rsidRPr="00A52B95">
        <w:rPr>
          <w:rFonts w:ascii="Times New Roman" w:hAnsi="Times New Roman" w:cs="Times New Roman"/>
          <w:sz w:val="24"/>
          <w:szCs w:val="24"/>
        </w:rPr>
        <w:t>The QSEN website is hosted by the faculty team at Case Western Reserve University. Four people make up the primary faculty and staff (from June 2012</w:t>
      </w:r>
      <w:r w:rsidR="008534D6">
        <w:rPr>
          <w:rFonts w:ascii="Times New Roman" w:hAnsi="Times New Roman" w:cs="Times New Roman"/>
          <w:sz w:val="24"/>
          <w:szCs w:val="24"/>
        </w:rPr>
        <w:t xml:space="preserve"> </w:t>
      </w:r>
      <w:r w:rsidR="006E181B" w:rsidRPr="00A52B95">
        <w:rPr>
          <w:rFonts w:ascii="Times New Roman" w:hAnsi="Times New Roman" w:cs="Times New Roman"/>
          <w:sz w:val="24"/>
          <w:szCs w:val="24"/>
        </w:rPr>
        <w:t>-</w:t>
      </w:r>
      <w:r w:rsidR="008534D6">
        <w:rPr>
          <w:rFonts w:ascii="Times New Roman" w:hAnsi="Times New Roman" w:cs="Times New Roman"/>
          <w:sz w:val="24"/>
          <w:szCs w:val="24"/>
        </w:rPr>
        <w:t xml:space="preserve"> </w:t>
      </w:r>
      <w:r w:rsidR="006E181B" w:rsidRPr="00A52B95">
        <w:rPr>
          <w:rFonts w:ascii="Times New Roman" w:hAnsi="Times New Roman" w:cs="Times New Roman"/>
          <w:sz w:val="24"/>
          <w:szCs w:val="24"/>
        </w:rPr>
        <w:t xml:space="preserve">present). There are three separate faculty steering committees comprised of many different members, and two people </w:t>
      </w:r>
      <w:r w:rsidR="008534D6">
        <w:rPr>
          <w:rFonts w:ascii="Times New Roman" w:hAnsi="Times New Roman" w:cs="Times New Roman"/>
          <w:sz w:val="24"/>
          <w:szCs w:val="24"/>
        </w:rPr>
        <w:t>head</w:t>
      </w:r>
      <w:r w:rsidR="006E181B" w:rsidRPr="00A52B95">
        <w:rPr>
          <w:rFonts w:ascii="Times New Roman" w:hAnsi="Times New Roman" w:cs="Times New Roman"/>
          <w:sz w:val="24"/>
          <w:szCs w:val="24"/>
        </w:rPr>
        <w:t xml:space="preserve"> up the Phase IV AACN Project Team (fr</w:t>
      </w:r>
      <w:r w:rsidR="008534D6">
        <w:rPr>
          <w:rFonts w:ascii="Times New Roman" w:hAnsi="Times New Roman" w:cs="Times New Roman"/>
          <w:sz w:val="24"/>
          <w:szCs w:val="24"/>
        </w:rPr>
        <w:t>om February 2012 - p</w:t>
      </w:r>
      <w:r w:rsidR="006E181B" w:rsidRPr="00A52B95">
        <w:rPr>
          <w:rFonts w:ascii="Times New Roman" w:hAnsi="Times New Roman" w:cs="Times New Roman"/>
          <w:sz w:val="24"/>
          <w:szCs w:val="24"/>
        </w:rPr>
        <w:t xml:space="preserve">resent). Professional qualifications were listed for all but one person that I saw; most were listed as having their PhDs. The office can be contacted using mail, phone, fax, email, and an online </w:t>
      </w:r>
      <w:r w:rsidR="008534D6">
        <w:rPr>
          <w:rFonts w:ascii="Times New Roman" w:hAnsi="Times New Roman" w:cs="Times New Roman"/>
          <w:sz w:val="24"/>
          <w:szCs w:val="24"/>
        </w:rPr>
        <w:t xml:space="preserve">submission </w:t>
      </w:r>
      <w:r w:rsidR="006E181B" w:rsidRPr="00A52B95">
        <w:rPr>
          <w:rFonts w:ascii="Times New Roman" w:hAnsi="Times New Roman" w:cs="Times New Roman"/>
          <w:sz w:val="24"/>
          <w:szCs w:val="24"/>
        </w:rPr>
        <w:t xml:space="preserve">form. Staff can be contacted via phone and email directly. The site is sponsored by </w:t>
      </w:r>
      <w:r w:rsidR="00824B8F" w:rsidRPr="00A52B95">
        <w:rPr>
          <w:rFonts w:ascii="Times New Roman" w:hAnsi="Times New Roman" w:cs="Times New Roman"/>
          <w:sz w:val="24"/>
          <w:szCs w:val="24"/>
        </w:rPr>
        <w:t>WordPress. The authors and their institutions retain the copyright to the materials; however, materials may be utilized by any individual for teaching purposes without asking specific permission.</w:t>
      </w:r>
    </w:p>
    <w:p w:rsidR="006C54F2" w:rsidRPr="00A52B95" w:rsidRDefault="006C54F2" w:rsidP="009D60DF">
      <w:pPr>
        <w:jc w:val="both"/>
        <w:rPr>
          <w:rFonts w:ascii="Times New Roman" w:hAnsi="Times New Roman" w:cs="Times New Roman"/>
          <w:sz w:val="24"/>
          <w:szCs w:val="24"/>
        </w:rPr>
      </w:pPr>
      <w:r w:rsidRPr="00A52B95">
        <w:rPr>
          <w:rFonts w:ascii="Times New Roman" w:hAnsi="Times New Roman" w:cs="Times New Roman"/>
          <w:b/>
          <w:sz w:val="24"/>
          <w:szCs w:val="24"/>
        </w:rPr>
        <w:t>Timeliness and Continuity:</w:t>
      </w:r>
      <w:r w:rsidR="004906C3" w:rsidRPr="00A52B95">
        <w:rPr>
          <w:rFonts w:ascii="Times New Roman" w:hAnsi="Times New Roman" w:cs="Times New Roman"/>
          <w:b/>
          <w:sz w:val="24"/>
          <w:szCs w:val="24"/>
        </w:rPr>
        <w:t xml:space="preserve"> </w:t>
      </w:r>
      <w:r w:rsidR="004906C3" w:rsidRPr="00A52B95">
        <w:rPr>
          <w:rFonts w:ascii="Times New Roman" w:hAnsi="Times New Roman" w:cs="Times New Roman"/>
          <w:sz w:val="24"/>
          <w:szCs w:val="24"/>
        </w:rPr>
        <w:t xml:space="preserve">The site was launched in 2007. The latest news article I found was submitted on February 14, 2013. They posted an update on their Facebook page on March 15, 2013. All links seem to be functional and up to date. </w:t>
      </w:r>
    </w:p>
    <w:p w:rsidR="006C54F2" w:rsidRPr="00A52B95" w:rsidRDefault="006C54F2" w:rsidP="009D60DF">
      <w:pPr>
        <w:jc w:val="both"/>
        <w:rPr>
          <w:rFonts w:ascii="Times New Roman" w:hAnsi="Times New Roman" w:cs="Times New Roman"/>
          <w:sz w:val="24"/>
          <w:szCs w:val="24"/>
        </w:rPr>
      </w:pPr>
      <w:r w:rsidRPr="00A52B95">
        <w:rPr>
          <w:rFonts w:ascii="Times New Roman" w:hAnsi="Times New Roman" w:cs="Times New Roman"/>
          <w:b/>
          <w:sz w:val="24"/>
          <w:szCs w:val="24"/>
        </w:rPr>
        <w:lastRenderedPageBreak/>
        <w:t>Purpose:</w:t>
      </w:r>
      <w:r w:rsidR="004906C3" w:rsidRPr="00A52B95">
        <w:rPr>
          <w:rFonts w:ascii="Times New Roman" w:hAnsi="Times New Roman" w:cs="Times New Roman"/>
          <w:b/>
          <w:sz w:val="24"/>
          <w:szCs w:val="24"/>
        </w:rPr>
        <w:t xml:space="preserve"> </w:t>
      </w:r>
      <w:r w:rsidR="004906C3" w:rsidRPr="00A52B95">
        <w:rPr>
          <w:rFonts w:ascii="Times New Roman" w:hAnsi="Times New Roman" w:cs="Times New Roman"/>
          <w:sz w:val="24"/>
          <w:szCs w:val="24"/>
        </w:rPr>
        <w:t xml:space="preserve">The site’s targeted audience is nursing educators and faculty. </w:t>
      </w:r>
      <w:r w:rsidR="008534D6">
        <w:rPr>
          <w:rFonts w:ascii="Times New Roman" w:hAnsi="Times New Roman" w:cs="Times New Roman"/>
          <w:sz w:val="24"/>
          <w:szCs w:val="24"/>
        </w:rPr>
        <w:t>(</w:t>
      </w:r>
      <w:r w:rsidR="004906C3" w:rsidRPr="00A52B95">
        <w:rPr>
          <w:rFonts w:ascii="Times New Roman" w:hAnsi="Times New Roman" w:cs="Times New Roman"/>
          <w:sz w:val="24"/>
          <w:szCs w:val="24"/>
        </w:rPr>
        <w:t>See previous page for the site’s purpose and goals.</w:t>
      </w:r>
      <w:r w:rsidR="008534D6">
        <w:rPr>
          <w:rFonts w:ascii="Times New Roman" w:hAnsi="Times New Roman" w:cs="Times New Roman"/>
          <w:sz w:val="24"/>
          <w:szCs w:val="24"/>
        </w:rPr>
        <w:t>)</w:t>
      </w:r>
      <w:r w:rsidR="004906C3" w:rsidRPr="00A52B95">
        <w:rPr>
          <w:rFonts w:ascii="Times New Roman" w:hAnsi="Times New Roman" w:cs="Times New Roman"/>
          <w:sz w:val="24"/>
          <w:szCs w:val="24"/>
        </w:rPr>
        <w:t xml:space="preserve"> The goals are clearly stated under the header “about </w:t>
      </w:r>
      <w:r w:rsidR="00361CD2" w:rsidRPr="00A52B95">
        <w:rPr>
          <w:rFonts w:ascii="Times New Roman" w:hAnsi="Times New Roman" w:cs="Times New Roman"/>
          <w:sz w:val="24"/>
          <w:szCs w:val="24"/>
        </w:rPr>
        <w:t xml:space="preserve">QSEN.” There are four phases to their project overview. </w:t>
      </w:r>
      <w:r w:rsidR="00A52B95" w:rsidRPr="00A52B95">
        <w:rPr>
          <w:rFonts w:ascii="Times New Roman" w:hAnsi="Times New Roman" w:cs="Times New Roman"/>
          <w:sz w:val="24"/>
          <w:szCs w:val="24"/>
        </w:rPr>
        <w:t xml:space="preserve">There are various articles, learning modules, related links, and videos available to assist with education. </w:t>
      </w:r>
    </w:p>
    <w:p w:rsidR="006C54F2" w:rsidRPr="00A52B95" w:rsidRDefault="006C54F2" w:rsidP="009D60DF">
      <w:pPr>
        <w:jc w:val="both"/>
        <w:rPr>
          <w:rFonts w:ascii="Times New Roman" w:hAnsi="Times New Roman" w:cs="Times New Roman"/>
          <w:sz w:val="24"/>
          <w:szCs w:val="24"/>
        </w:rPr>
      </w:pPr>
      <w:r w:rsidRPr="00A52B95">
        <w:rPr>
          <w:rFonts w:ascii="Times New Roman" w:hAnsi="Times New Roman" w:cs="Times New Roman"/>
          <w:b/>
          <w:sz w:val="24"/>
          <w:szCs w:val="24"/>
        </w:rPr>
        <w:t>Content: Accuracy and Objectivity:</w:t>
      </w:r>
      <w:r w:rsidR="00361CD2" w:rsidRPr="00A52B95">
        <w:rPr>
          <w:rFonts w:ascii="Times New Roman" w:hAnsi="Times New Roman" w:cs="Times New Roman"/>
          <w:b/>
          <w:sz w:val="24"/>
          <w:szCs w:val="24"/>
        </w:rPr>
        <w:t xml:space="preserve"> </w:t>
      </w:r>
      <w:r w:rsidR="00361CD2" w:rsidRPr="00A52B95">
        <w:rPr>
          <w:rFonts w:ascii="Times New Roman" w:hAnsi="Times New Roman" w:cs="Times New Roman"/>
          <w:sz w:val="24"/>
          <w:szCs w:val="24"/>
        </w:rPr>
        <w:t xml:space="preserve">The information meets the purpose in a variety of ways. Any educational material posted on the QSEN website is the intellectual property of the authors, co-authors, and/or the institutions by which the authors are employed. Cited links were verifiable. The value of the content of this site would be more useful to educational faculty rather than the working bedside nurse. It is a scholarly website and could be utilized for obtaining research articles for written assignments. The site does not seem obviously biased and contains no advertisements. </w:t>
      </w:r>
    </w:p>
    <w:p w:rsidR="006C54F2" w:rsidRPr="00A52B95" w:rsidRDefault="006C54F2" w:rsidP="009D60DF">
      <w:pPr>
        <w:jc w:val="both"/>
        <w:rPr>
          <w:rFonts w:ascii="Times New Roman" w:hAnsi="Times New Roman" w:cs="Times New Roman"/>
          <w:sz w:val="24"/>
          <w:szCs w:val="24"/>
        </w:rPr>
      </w:pPr>
      <w:r w:rsidRPr="00A52B95">
        <w:rPr>
          <w:rFonts w:ascii="Times New Roman" w:hAnsi="Times New Roman" w:cs="Times New Roman"/>
          <w:b/>
          <w:sz w:val="24"/>
          <w:szCs w:val="24"/>
        </w:rPr>
        <w:t>Structure a</w:t>
      </w:r>
      <w:bookmarkStart w:id="0" w:name="_GoBack"/>
      <w:bookmarkEnd w:id="0"/>
      <w:r w:rsidRPr="00A52B95">
        <w:rPr>
          <w:rFonts w:ascii="Times New Roman" w:hAnsi="Times New Roman" w:cs="Times New Roman"/>
          <w:b/>
          <w:sz w:val="24"/>
          <w:szCs w:val="24"/>
        </w:rPr>
        <w:t xml:space="preserve">nd Access: </w:t>
      </w:r>
      <w:r w:rsidR="00A52B95" w:rsidRPr="00A52B95">
        <w:rPr>
          <w:rFonts w:ascii="Times New Roman" w:hAnsi="Times New Roman" w:cs="Times New Roman"/>
          <w:sz w:val="24"/>
          <w:szCs w:val="24"/>
        </w:rPr>
        <w:t xml:space="preserve">No user account is needed. </w:t>
      </w:r>
      <w:r w:rsidR="00361CD2" w:rsidRPr="00A52B95">
        <w:rPr>
          <w:rFonts w:ascii="Times New Roman" w:hAnsi="Times New Roman" w:cs="Times New Roman"/>
          <w:sz w:val="24"/>
          <w:szCs w:val="24"/>
        </w:rPr>
        <w:t xml:space="preserve">The site </w:t>
      </w:r>
      <w:r w:rsidR="00A52B95" w:rsidRPr="00A52B95">
        <w:rPr>
          <w:rFonts w:ascii="Times New Roman" w:hAnsi="Times New Roman" w:cs="Times New Roman"/>
          <w:sz w:val="24"/>
          <w:szCs w:val="24"/>
        </w:rPr>
        <w:t xml:space="preserve">did not load very quickly. It was stated that their videos are now hosted by YouTube in order to promote faster load times and full-screen viewing. Overall the site was plain without a lot of multimedia, graphics, and art noticed. There was one main picture on the home page. The site was not very creative in appearance. Throughout the site there are many links that can be clicked on for more information. There are also seven main headers that can be clicked on to view additional areas of interest by subject. It is stated that the site is “mobile friendly” and QSEN can be followed on Facebook and Twitter for updates. </w:t>
      </w:r>
    </w:p>
    <w:p w:rsidR="004E46CA" w:rsidRPr="00A52B95" w:rsidRDefault="001340C4" w:rsidP="006C54F2">
      <w:pPr>
        <w:rPr>
          <w:rFonts w:ascii="Times New Roman" w:hAnsi="Times New Roman" w:cs="Times New Roman"/>
          <w:sz w:val="24"/>
          <w:szCs w:val="24"/>
        </w:rPr>
      </w:pPr>
      <w:proofErr w:type="gramStart"/>
      <w:r w:rsidRPr="00A52B95">
        <w:rPr>
          <w:rFonts w:ascii="Times New Roman" w:hAnsi="Times New Roman" w:cs="Times New Roman"/>
          <w:sz w:val="24"/>
          <w:szCs w:val="24"/>
        </w:rPr>
        <w:t>About QSEN Project Overview Press Release Phase I. (n.d.).</w:t>
      </w:r>
      <w:proofErr w:type="gramEnd"/>
      <w:r w:rsidRPr="00A52B95">
        <w:rPr>
          <w:rFonts w:ascii="Times New Roman" w:hAnsi="Times New Roman" w:cs="Times New Roman"/>
          <w:sz w:val="24"/>
          <w:szCs w:val="24"/>
        </w:rPr>
        <w:t xml:space="preserve"> QSEN Institute. Retrieved March 21, 2013, from qsen.org/</w:t>
      </w:r>
    </w:p>
    <w:p w:rsidR="009D60DF" w:rsidRPr="00A52B95" w:rsidRDefault="009D60DF" w:rsidP="009D60DF">
      <w:pPr>
        <w:jc w:val="both"/>
        <w:rPr>
          <w:rFonts w:ascii="Times New Roman" w:hAnsi="Times New Roman" w:cs="Times New Roman"/>
          <w:sz w:val="24"/>
          <w:szCs w:val="24"/>
        </w:rPr>
      </w:pPr>
      <w:r w:rsidRPr="00A52B95">
        <w:rPr>
          <w:rFonts w:ascii="Times New Roman" w:hAnsi="Times New Roman" w:cs="Times New Roman"/>
          <w:sz w:val="24"/>
          <w:szCs w:val="24"/>
        </w:rPr>
        <w:t xml:space="preserve">Zerwekh, J. G., &amp; Garneau, A. Z. (2012). </w:t>
      </w:r>
      <w:r w:rsidR="00D15066">
        <w:rPr>
          <w:rFonts w:ascii="Times New Roman" w:hAnsi="Times New Roman" w:cs="Times New Roman"/>
          <w:sz w:val="24"/>
          <w:szCs w:val="24"/>
        </w:rPr>
        <w:t>Quality patient care</w:t>
      </w:r>
      <w:r w:rsidRPr="00A52B95">
        <w:rPr>
          <w:rFonts w:ascii="Times New Roman" w:hAnsi="Times New Roman" w:cs="Times New Roman"/>
          <w:sz w:val="24"/>
          <w:szCs w:val="24"/>
        </w:rPr>
        <w:t>. Nursing today: transit</w:t>
      </w:r>
      <w:r w:rsidR="00D15066">
        <w:rPr>
          <w:rFonts w:ascii="Times New Roman" w:hAnsi="Times New Roman" w:cs="Times New Roman"/>
          <w:sz w:val="24"/>
          <w:szCs w:val="24"/>
        </w:rPr>
        <w:t>ion and trends (7th ed., pp. 485-486</w:t>
      </w:r>
      <w:r w:rsidRPr="00A52B95">
        <w:rPr>
          <w:rFonts w:ascii="Times New Roman" w:hAnsi="Times New Roman" w:cs="Times New Roman"/>
          <w:sz w:val="24"/>
          <w:szCs w:val="24"/>
        </w:rPr>
        <w:t>). St. Louis: Saunders.</w:t>
      </w:r>
    </w:p>
    <w:p w:rsidR="0030238F" w:rsidRDefault="0030238F">
      <w:r>
        <w:br w:type="page"/>
      </w:r>
    </w:p>
    <w:tbl>
      <w:tblPr>
        <w:tblW w:w="5042" w:type="pct"/>
        <w:tblCellSpacing w:w="0" w:type="dxa"/>
        <w:tblLayout w:type="fixed"/>
        <w:tblCellMar>
          <w:left w:w="0" w:type="dxa"/>
          <w:right w:w="0" w:type="dxa"/>
        </w:tblCellMar>
        <w:tblLook w:val="0000"/>
      </w:tblPr>
      <w:tblGrid>
        <w:gridCol w:w="10709"/>
      </w:tblGrid>
      <w:tr w:rsidR="0030238F" w:rsidTr="0030238F">
        <w:trPr>
          <w:trHeight w:val="314"/>
          <w:tblCellSpacing w:w="0" w:type="dxa"/>
        </w:trPr>
        <w:tc>
          <w:tcPr>
            <w:tcW w:w="9439" w:type="dxa"/>
            <w:vAlign w:val="center"/>
          </w:tcPr>
          <w:p w:rsidR="0030238F" w:rsidRDefault="0030238F" w:rsidP="0030238F">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30238F" w:rsidTr="0030238F">
        <w:trPr>
          <w:trHeight w:val="269"/>
          <w:tblCellSpacing w:w="0" w:type="dxa"/>
        </w:trPr>
        <w:tc>
          <w:tcPr>
            <w:tcW w:w="9439" w:type="dxa"/>
            <w:vAlign w:val="center"/>
          </w:tcPr>
          <w:p w:rsidR="0030238F" w:rsidRDefault="0030238F" w:rsidP="0030238F">
            <w:pPr>
              <w:spacing w:after="0" w:line="240" w:lineRule="auto"/>
              <w:jc w:val="center"/>
            </w:pPr>
            <w:r>
              <w:t>Website Review Rubric</w:t>
            </w:r>
          </w:p>
        </w:tc>
      </w:tr>
      <w:tr w:rsidR="0030238F" w:rsidTr="0030238F">
        <w:trPr>
          <w:trHeight w:val="1525"/>
          <w:tblCellSpacing w:w="0" w:type="dxa"/>
        </w:trPr>
        <w:tc>
          <w:tcPr>
            <w:tcW w:w="9439" w:type="dxa"/>
            <w:vAlign w:val="center"/>
          </w:tcPr>
          <w:p w:rsidR="0030238F" w:rsidRDefault="0030238F" w:rsidP="0030238F">
            <w:pPr>
              <w:spacing w:after="0" w:line="240" w:lineRule="auto"/>
              <w:jc w:val="center"/>
            </w:pPr>
            <w:r>
              <w:t>NCA III - Management</w:t>
            </w:r>
          </w:p>
          <w:p w:rsidR="0030238F" w:rsidRDefault="0030238F" w:rsidP="0030238F">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30238F" w:rsidRPr="00D6735B" w:rsidTr="0030238F">
        <w:trPr>
          <w:trHeight w:val="2691"/>
          <w:tblCellSpacing w:w="0" w:type="dxa"/>
        </w:trPr>
        <w:tc>
          <w:tcPr>
            <w:tcW w:w="9439"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30238F"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30238F"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30238F" w:rsidRPr="00D6735B" w:rsidRDefault="0030238F" w:rsidP="0030238F">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30238F" w:rsidRPr="00D6735B" w:rsidRDefault="0030238F" w:rsidP="0030238F">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30238F" w:rsidRPr="00D6735B" w:rsidRDefault="0030238F" w:rsidP="0030238F">
                        <w:pPr>
                          <w:spacing w:after="0" w:line="240" w:lineRule="auto"/>
                          <w:rPr>
                            <w:sz w:val="20"/>
                            <w:szCs w:val="20"/>
                          </w:rPr>
                        </w:pPr>
                        <w:r>
                          <w:rPr>
                            <w:b/>
                            <w:bCs/>
                            <w:sz w:val="20"/>
                            <w:szCs w:val="20"/>
                          </w:rPr>
                          <w:t xml:space="preserve">  </w:t>
                        </w:r>
                        <w:r w:rsidRPr="00D6735B">
                          <w:rPr>
                            <w:b/>
                            <w:bCs/>
                            <w:sz w:val="20"/>
                            <w:szCs w:val="20"/>
                          </w:rPr>
                          <w:t>Points</w:t>
                        </w:r>
                      </w:p>
                    </w:tc>
                  </w:tr>
                </w:tbl>
                <w:p w:rsidR="0030238F" w:rsidRPr="00D6735B" w:rsidRDefault="0030238F" w:rsidP="0030238F">
                  <w:pPr>
                    <w:spacing w:after="0" w:line="240" w:lineRule="auto"/>
                    <w:rPr>
                      <w:sz w:val="20"/>
                      <w:szCs w:val="20"/>
                    </w:rPr>
                  </w:pPr>
                </w:p>
              </w:tc>
            </w:tr>
            <w:tr w:rsidR="0030238F"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30238F"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30238F"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30238F" w:rsidRPr="004B3637"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30238F"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30238F" w:rsidRPr="00D67679" w:rsidRDefault="0030238F" w:rsidP="0030238F">
                        <w:pPr>
                          <w:numPr>
                            <w:ilvl w:val="0"/>
                            <w:numId w:val="1"/>
                          </w:numPr>
                          <w:spacing w:after="0" w:line="240" w:lineRule="auto"/>
                          <w:ind w:left="0" w:firstLine="0"/>
                          <w:rPr>
                            <w:rFonts w:ascii="Times New Roman" w:hAnsi="Times New Roman" w:cs="Times New Roman"/>
                            <w:sz w:val="20"/>
                            <w:szCs w:val="20"/>
                          </w:rPr>
                        </w:pPr>
                        <w:r w:rsidRPr="00D67679">
                          <w:rPr>
                            <w:rFonts w:ascii="Times New Roman" w:hAnsi="Times New Roman" w:cs="Times New Roman"/>
                            <w:sz w:val="20"/>
                            <w:szCs w:val="20"/>
                          </w:rPr>
                          <w:t>Authority</w:t>
                        </w:r>
                      </w:p>
                      <w:p w:rsidR="0030238F" w:rsidRPr="00D67679" w:rsidRDefault="0030238F" w:rsidP="0030238F">
                        <w:pPr>
                          <w:numPr>
                            <w:ilvl w:val="0"/>
                            <w:numId w:val="1"/>
                          </w:numPr>
                          <w:spacing w:after="0" w:line="240" w:lineRule="auto"/>
                          <w:ind w:left="0" w:firstLine="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30238F" w:rsidRPr="00D67679" w:rsidRDefault="0030238F" w:rsidP="0030238F">
                        <w:pPr>
                          <w:numPr>
                            <w:ilvl w:val="0"/>
                            <w:numId w:val="1"/>
                          </w:numPr>
                          <w:spacing w:after="0" w:line="240" w:lineRule="auto"/>
                          <w:ind w:left="0" w:firstLine="0"/>
                          <w:rPr>
                            <w:rFonts w:ascii="Times New Roman" w:hAnsi="Times New Roman" w:cs="Times New Roman"/>
                            <w:sz w:val="20"/>
                            <w:szCs w:val="20"/>
                          </w:rPr>
                        </w:pPr>
                        <w:r w:rsidRPr="00D67679">
                          <w:rPr>
                            <w:rFonts w:ascii="Times New Roman" w:hAnsi="Times New Roman" w:cs="Times New Roman"/>
                            <w:sz w:val="20"/>
                            <w:szCs w:val="20"/>
                          </w:rPr>
                          <w:t>Purpose</w:t>
                        </w:r>
                      </w:p>
                      <w:p w:rsidR="0030238F" w:rsidRPr="00D67679" w:rsidRDefault="0030238F" w:rsidP="0030238F">
                        <w:pPr>
                          <w:numPr>
                            <w:ilvl w:val="0"/>
                            <w:numId w:val="1"/>
                          </w:numPr>
                          <w:spacing w:after="0" w:line="240" w:lineRule="auto"/>
                          <w:ind w:left="0" w:firstLine="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30238F" w:rsidRPr="00D67679" w:rsidRDefault="0030238F" w:rsidP="0030238F">
                        <w:pPr>
                          <w:numPr>
                            <w:ilvl w:val="0"/>
                            <w:numId w:val="1"/>
                          </w:numPr>
                          <w:spacing w:after="0" w:line="240" w:lineRule="auto"/>
                          <w:ind w:left="0" w:firstLine="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30238F"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30238F"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30238F"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30238F" w:rsidRPr="00D67679" w:rsidRDefault="0030238F" w:rsidP="0030238F">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30238F" w:rsidRPr="004B3637" w:rsidRDefault="0030238F" w:rsidP="0030238F">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30238F" w:rsidRPr="00D6735B" w:rsidRDefault="0030238F" w:rsidP="0030238F">
                  <w:pPr>
                    <w:spacing w:after="0" w:line="240" w:lineRule="auto"/>
                    <w:rPr>
                      <w:sz w:val="20"/>
                      <w:szCs w:val="20"/>
                    </w:rPr>
                  </w:pPr>
                </w:p>
              </w:tc>
            </w:tr>
          </w:tbl>
          <w:p w:rsidR="0030238F" w:rsidRPr="00D6735B" w:rsidRDefault="0030238F" w:rsidP="0030238F">
            <w:pPr>
              <w:spacing w:after="0" w:line="240" w:lineRule="auto"/>
              <w:rPr>
                <w:sz w:val="20"/>
                <w:szCs w:val="20"/>
              </w:rPr>
            </w:pPr>
          </w:p>
        </w:tc>
      </w:tr>
      <w:tr w:rsidR="0030238F" w:rsidTr="0030238F">
        <w:trPr>
          <w:trHeight w:val="30"/>
          <w:tblCellSpacing w:w="0" w:type="dxa"/>
        </w:trPr>
        <w:tc>
          <w:tcPr>
            <w:tcW w:w="9439" w:type="dxa"/>
            <w:vAlign w:val="center"/>
          </w:tcPr>
          <w:p w:rsidR="0030238F" w:rsidRDefault="0030238F" w:rsidP="0030238F">
            <w:pPr>
              <w:spacing w:after="0" w:line="240" w:lineRule="auto"/>
            </w:pPr>
          </w:p>
        </w:tc>
      </w:tr>
    </w:tbl>
    <w:p w:rsidR="0030238F" w:rsidRPr="00BE5598" w:rsidRDefault="006D123E" w:rsidP="0030238F">
      <w:pPr>
        <w:spacing w:after="0" w:line="240" w:lineRule="auto"/>
      </w:pPr>
      <w:r>
        <w:t>Excellent job as usual Amber, only one more to go.</w:t>
      </w:r>
    </w:p>
    <w:p w:rsidR="0030238F" w:rsidRDefault="0030238F" w:rsidP="0030238F"/>
    <w:p w:rsidR="0030238F" w:rsidRPr="00800B42" w:rsidRDefault="0030238F" w:rsidP="0030238F">
      <w:pPr>
        <w:spacing w:line="384" w:lineRule="atLeast"/>
        <w:rPr>
          <w:rFonts w:ascii="Times New Roman" w:eastAsia="Times New Roman" w:hAnsi="Times New Roman" w:cs="Times New Roman"/>
          <w:sz w:val="24"/>
          <w:szCs w:val="24"/>
        </w:rPr>
      </w:pPr>
    </w:p>
    <w:p w:rsidR="009D60DF" w:rsidRPr="00A52B95" w:rsidRDefault="009D60DF" w:rsidP="0030238F">
      <w:pPr>
        <w:jc w:val="both"/>
        <w:rPr>
          <w:rFonts w:ascii="Times New Roman" w:hAnsi="Times New Roman" w:cs="Times New Roman"/>
          <w:sz w:val="24"/>
          <w:szCs w:val="24"/>
        </w:rPr>
      </w:pPr>
    </w:p>
    <w:p w:rsidR="004E46CA" w:rsidRPr="00A52B95" w:rsidRDefault="004E46CA" w:rsidP="0030238F">
      <w:pPr>
        <w:jc w:val="both"/>
        <w:rPr>
          <w:rFonts w:ascii="Times New Roman" w:hAnsi="Times New Roman" w:cs="Times New Roman"/>
          <w:sz w:val="24"/>
          <w:szCs w:val="24"/>
        </w:rPr>
      </w:pPr>
    </w:p>
    <w:sectPr w:rsidR="004E46CA" w:rsidRPr="00A52B95" w:rsidSect="0030238F">
      <w:pgSz w:w="12240" w:h="15840"/>
      <w:pgMar w:top="1440" w:right="81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EB4578"/>
    <w:rsid w:val="001340C4"/>
    <w:rsid w:val="0030238F"/>
    <w:rsid w:val="00325E71"/>
    <w:rsid w:val="00361CD2"/>
    <w:rsid w:val="003C1319"/>
    <w:rsid w:val="004906C3"/>
    <w:rsid w:val="004E46CA"/>
    <w:rsid w:val="00516963"/>
    <w:rsid w:val="006C54F2"/>
    <w:rsid w:val="006D123E"/>
    <w:rsid w:val="006E181B"/>
    <w:rsid w:val="007245D5"/>
    <w:rsid w:val="00770D65"/>
    <w:rsid w:val="007C63A6"/>
    <w:rsid w:val="00824B8F"/>
    <w:rsid w:val="008534D6"/>
    <w:rsid w:val="008821A6"/>
    <w:rsid w:val="009D60DF"/>
    <w:rsid w:val="00A52B95"/>
    <w:rsid w:val="00A54558"/>
    <w:rsid w:val="00D15066"/>
    <w:rsid w:val="00EB4578"/>
    <w:rsid w:val="00FB7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bowert</cp:lastModifiedBy>
  <cp:revision>3</cp:revision>
  <dcterms:created xsi:type="dcterms:W3CDTF">2013-03-24T01:11:00Z</dcterms:created>
  <dcterms:modified xsi:type="dcterms:W3CDTF">2013-03-24T17:28:00Z</dcterms:modified>
</cp:coreProperties>
</file>