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3576A" w14:textId="77777777" w:rsidR="00EF691B" w:rsidRDefault="008B1A0C" w:rsidP="00EF69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vSim</w:t>
      </w:r>
      <w:proofErr w:type="spellEnd"/>
      <w:r w:rsidR="00EF69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691B">
        <w:rPr>
          <w:rFonts w:ascii="Times New Roman" w:hAnsi="Times New Roman" w:cs="Times New Roman"/>
          <w:b/>
          <w:sz w:val="24"/>
          <w:szCs w:val="24"/>
        </w:rPr>
        <w:t>Prebriefing</w:t>
      </w:r>
      <w:proofErr w:type="spellEnd"/>
    </w:p>
    <w:p w14:paraId="6ECD4E34" w14:textId="77777777" w:rsidR="00EF691B" w:rsidRPr="00D2251F" w:rsidRDefault="00EF691B" w:rsidP="00EF69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2251F">
        <w:rPr>
          <w:rFonts w:ascii="Times New Roman" w:hAnsi="Times New Roman" w:cs="Times New Roman"/>
          <w:b/>
          <w:i/>
          <w:sz w:val="24"/>
          <w:szCs w:val="24"/>
        </w:rPr>
        <w:t xml:space="preserve">Questions to answer in the </w:t>
      </w:r>
      <w:proofErr w:type="spellStart"/>
      <w:r w:rsidRPr="00D2251F">
        <w:rPr>
          <w:rFonts w:ascii="Times New Roman" w:hAnsi="Times New Roman" w:cs="Times New Roman"/>
          <w:b/>
          <w:i/>
          <w:sz w:val="24"/>
          <w:szCs w:val="24"/>
        </w:rPr>
        <w:t>prebriefing</w:t>
      </w:r>
      <w:proofErr w:type="spellEnd"/>
      <w:r w:rsidRPr="00D2251F">
        <w:rPr>
          <w:rFonts w:ascii="Times New Roman" w:hAnsi="Times New Roman" w:cs="Times New Roman"/>
          <w:b/>
          <w:i/>
          <w:sz w:val="24"/>
          <w:szCs w:val="24"/>
        </w:rPr>
        <w:t xml:space="preserve"> are based on Tanner’s Clinical Judgment Model:</w:t>
      </w:r>
    </w:p>
    <w:p w14:paraId="553E12C8" w14:textId="77777777" w:rsidR="00EF691B" w:rsidRPr="00212CBF" w:rsidRDefault="00EF691B" w:rsidP="00EF691B">
      <w:pPr>
        <w:rPr>
          <w:rFonts w:ascii="Times New Roman" w:hAnsi="Times New Roman" w:cs="Times New Roman"/>
          <w:sz w:val="24"/>
          <w:szCs w:val="24"/>
        </w:rPr>
      </w:pPr>
      <w:r w:rsidRPr="00212CBF">
        <w:rPr>
          <w:rFonts w:ascii="Times New Roman" w:hAnsi="Times New Roman" w:cs="Times New Roman"/>
          <w:b/>
          <w:sz w:val="24"/>
          <w:szCs w:val="24"/>
        </w:rPr>
        <w:t>Noticing</w:t>
      </w:r>
      <w:r w:rsidRPr="00212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36017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 w:rsidRPr="00212CBF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is one thing </w:t>
      </w:r>
      <w:r w:rsidRPr="00212CBF">
        <w:rPr>
          <w:rFonts w:ascii="Times New Roman" w:hAnsi="Times New Roman" w:cs="Times New Roman"/>
          <w:sz w:val="24"/>
          <w:szCs w:val="24"/>
        </w:rPr>
        <w:t xml:space="preserve">you notice from the patient’s </w:t>
      </w:r>
      <w:r>
        <w:rPr>
          <w:rFonts w:ascii="Times New Roman" w:hAnsi="Times New Roman" w:cs="Times New Roman"/>
          <w:sz w:val="24"/>
          <w:szCs w:val="24"/>
        </w:rPr>
        <w:t>history or report</w:t>
      </w:r>
      <w:r w:rsidRPr="00212CBF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212CBF">
        <w:rPr>
          <w:rFonts w:ascii="Times New Roman" w:hAnsi="Times New Roman" w:cs="Times New Roman"/>
          <w:sz w:val="24"/>
          <w:szCs w:val="24"/>
        </w:rPr>
        <w:t>guide your</w:t>
      </w:r>
      <w:r>
        <w:rPr>
          <w:rFonts w:ascii="Times New Roman" w:hAnsi="Times New Roman" w:cs="Times New Roman"/>
          <w:sz w:val="24"/>
          <w:szCs w:val="24"/>
        </w:rPr>
        <w:t xml:space="preserve"> initial</w:t>
      </w:r>
      <w:r w:rsidRPr="00212CBF">
        <w:rPr>
          <w:rFonts w:ascii="Times New Roman" w:hAnsi="Times New Roman" w:cs="Times New Roman"/>
          <w:sz w:val="24"/>
          <w:szCs w:val="24"/>
        </w:rPr>
        <w:t xml:space="preserve"> nursing care</w:t>
      </w:r>
      <w:r>
        <w:rPr>
          <w:rFonts w:ascii="Times New Roman" w:hAnsi="Times New Roman" w:cs="Times New Roman"/>
          <w:sz w:val="24"/>
          <w:szCs w:val="24"/>
        </w:rPr>
        <w:t xml:space="preserve"> (maybe it is specific labs, their diagnosis, or past medical history, etc.)</w:t>
      </w:r>
      <w:r w:rsidRPr="00212CBF">
        <w:rPr>
          <w:rFonts w:ascii="Times New Roman" w:hAnsi="Times New Roman" w:cs="Times New Roman"/>
          <w:sz w:val="24"/>
          <w:szCs w:val="24"/>
        </w:rPr>
        <w:t>?</w:t>
      </w:r>
    </w:p>
    <w:p w14:paraId="046A3F9B" w14:textId="77777777" w:rsidR="00291357" w:rsidRPr="00212CBF" w:rsidRDefault="00291357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is reluctant to use his incentive spirometer, which probably means his pain is </w:t>
      </w:r>
      <w:proofErr w:type="gramStart"/>
      <w:r>
        <w:rPr>
          <w:rFonts w:ascii="Times New Roman" w:hAnsi="Times New Roman" w:cs="Times New Roman"/>
          <w:sz w:val="24"/>
          <w:szCs w:val="24"/>
        </w:rPr>
        <w:t>pretty uncontrolled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as this would also explain his refusal to ambulate.  But the pain is not in his abdomen, but rather his leg, which means that something needs to be done asap. </w:t>
      </w:r>
    </w:p>
    <w:p w14:paraId="7B16CA56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expectations do</w:t>
      </w:r>
      <w:r w:rsidRPr="00212CBF">
        <w:rPr>
          <w:rFonts w:ascii="Times New Roman" w:hAnsi="Times New Roman" w:cs="Times New Roman"/>
          <w:sz w:val="24"/>
          <w:szCs w:val="24"/>
        </w:rPr>
        <w:t xml:space="preserve"> you have about the patient prior to caring for the patient?</w:t>
      </w:r>
    </w:p>
    <w:p w14:paraId="345D4BD0" w14:textId="77777777" w:rsidR="00291357" w:rsidRPr="00212CBF" w:rsidRDefault="00291357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going to need to be seen immediately, as he has developed leg pain post op which could be a sign of a blood clot.</w:t>
      </w:r>
    </w:p>
    <w:p w14:paraId="7A324D17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 w:rsidRPr="00212CBF">
        <w:rPr>
          <w:rFonts w:ascii="Times New Roman" w:hAnsi="Times New Roman" w:cs="Times New Roman"/>
          <w:sz w:val="24"/>
          <w:szCs w:val="24"/>
        </w:rPr>
        <w:t>What previous knowledge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2CBF">
        <w:rPr>
          <w:rFonts w:ascii="Times New Roman" w:hAnsi="Times New Roman" w:cs="Times New Roman"/>
          <w:sz w:val="24"/>
          <w:szCs w:val="24"/>
        </w:rPr>
        <w:t xml:space="preserve"> you have that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212CBF">
        <w:rPr>
          <w:rFonts w:ascii="Times New Roman" w:hAnsi="Times New Roman" w:cs="Times New Roman"/>
          <w:sz w:val="24"/>
          <w:szCs w:val="24"/>
        </w:rPr>
        <w:t xml:space="preserve"> guide your expectations?</w:t>
      </w:r>
    </w:p>
    <w:p w14:paraId="76C46616" w14:textId="77777777" w:rsidR="00291357" w:rsidRPr="00212CBF" w:rsidRDefault="00291357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learned in class about how pulmonary embolisms are medical emergencies and need to be taken care of right away to prevent further complications, even death. </w:t>
      </w:r>
    </w:p>
    <w:p w14:paraId="678D4836" w14:textId="77777777" w:rsidR="00EF691B" w:rsidRPr="00212CBF" w:rsidRDefault="00EF691B" w:rsidP="00EF691B">
      <w:pPr>
        <w:rPr>
          <w:rFonts w:ascii="Times New Roman" w:hAnsi="Times New Roman" w:cs="Times New Roman"/>
          <w:sz w:val="24"/>
          <w:szCs w:val="24"/>
        </w:rPr>
      </w:pPr>
      <w:r w:rsidRPr="00212CBF">
        <w:rPr>
          <w:rFonts w:ascii="Times New Roman" w:hAnsi="Times New Roman" w:cs="Times New Roman"/>
          <w:b/>
          <w:sz w:val="24"/>
          <w:szCs w:val="24"/>
        </w:rPr>
        <w:t>Interpreting</w:t>
      </w:r>
      <w:r w:rsidRPr="00212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820F3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 w:rsidRPr="00212CBF">
        <w:rPr>
          <w:rFonts w:ascii="Times New Roman" w:hAnsi="Times New Roman" w:cs="Times New Roman"/>
          <w:sz w:val="24"/>
          <w:szCs w:val="24"/>
        </w:rPr>
        <w:t>Interpret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CB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following</w:t>
      </w:r>
      <w:r w:rsidRPr="00212CBF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2B4E23E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Admitting medical diagnosis (definition of the diagnosis):</w:t>
      </w:r>
      <w:r w:rsidR="00291357">
        <w:rPr>
          <w:rFonts w:ascii="Times New Roman" w:hAnsi="Times New Roman" w:cs="Times New Roman"/>
          <w:sz w:val="24"/>
          <w:szCs w:val="24"/>
        </w:rPr>
        <w:t xml:space="preserve"> Postoperative Hemicolectomy</w:t>
      </w:r>
    </w:p>
    <w:p w14:paraId="505847CE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data (give rationale for all abnormal lab results):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84"/>
        <w:gridCol w:w="6861"/>
      </w:tblGrid>
      <w:tr w:rsidR="00291357" w14:paraId="3AD594F7" w14:textId="77777777" w:rsidTr="00291357">
        <w:tc>
          <w:tcPr>
            <w:tcW w:w="2584" w:type="dxa"/>
          </w:tcPr>
          <w:p w14:paraId="65C77729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Abnormal Lab Values</w:t>
            </w:r>
          </w:p>
        </w:tc>
        <w:tc>
          <w:tcPr>
            <w:tcW w:w="6861" w:type="dxa"/>
          </w:tcPr>
          <w:p w14:paraId="30334B1E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73">
              <w:rPr>
                <w:rFonts w:ascii="Times New Roman" w:hAnsi="Times New Roman" w:cs="Times New Roman"/>
                <w:b/>
                <w:sz w:val="24"/>
                <w:szCs w:val="24"/>
              </w:rPr>
              <w:t>Rationale for Abnormal Lab Values</w:t>
            </w:r>
          </w:p>
        </w:tc>
      </w:tr>
      <w:tr w:rsidR="00291357" w14:paraId="4DA442CA" w14:textId="77777777" w:rsidTr="00291357">
        <w:tc>
          <w:tcPr>
            <w:tcW w:w="2584" w:type="dxa"/>
          </w:tcPr>
          <w:p w14:paraId="2EC0A41E" w14:textId="77777777" w:rsidR="00EF691B" w:rsidRDefault="00291357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D-Dimer 0.9 </w:t>
            </w:r>
          </w:p>
        </w:tc>
        <w:tc>
          <w:tcPr>
            <w:tcW w:w="6861" w:type="dxa"/>
          </w:tcPr>
          <w:p w14:paraId="2F64EB51" w14:textId="77777777" w:rsidR="00EF691B" w:rsidRDefault="00291357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means that he likely has a blood clot somewhere, and that it needs to be addressed quickly. </w:t>
            </w:r>
          </w:p>
        </w:tc>
      </w:tr>
      <w:tr w:rsidR="00291357" w14:paraId="1D29A3FD" w14:textId="77777777" w:rsidTr="00291357">
        <w:tc>
          <w:tcPr>
            <w:tcW w:w="2584" w:type="dxa"/>
          </w:tcPr>
          <w:p w14:paraId="31A31A59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</w:tcPr>
          <w:p w14:paraId="59368F70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57" w14:paraId="739C165E" w14:textId="77777777" w:rsidTr="00291357">
        <w:tc>
          <w:tcPr>
            <w:tcW w:w="2584" w:type="dxa"/>
          </w:tcPr>
          <w:p w14:paraId="6184F4C1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</w:tcPr>
          <w:p w14:paraId="44AE73C5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31121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</w:p>
    <w:p w14:paraId="6484F7ED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 testing (explain what diagnostic tests were done with results):</w:t>
      </w:r>
      <w:r w:rsidR="00291357">
        <w:rPr>
          <w:rFonts w:ascii="Times New Roman" w:hAnsi="Times New Roman" w:cs="Times New Roman"/>
          <w:sz w:val="24"/>
          <w:szCs w:val="24"/>
        </w:rPr>
        <w:t xml:space="preserve">  No diagnostic tests were done except lab draws.</w:t>
      </w:r>
    </w:p>
    <w:p w14:paraId="5C28303D" w14:textId="77777777" w:rsidR="00EF691B" w:rsidRDefault="00EF691B" w:rsidP="00EF6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Medications (provide a list of all medications with classification, indication for use, and nursing interventions):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2138"/>
        <w:gridCol w:w="2019"/>
        <w:gridCol w:w="3319"/>
      </w:tblGrid>
      <w:tr w:rsidR="00EF691B" w14:paraId="78269318" w14:textId="77777777" w:rsidTr="00FD676F">
        <w:tc>
          <w:tcPr>
            <w:tcW w:w="1874" w:type="dxa"/>
          </w:tcPr>
          <w:p w14:paraId="0CCF78A4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Medication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(generic and trade name)</w:t>
            </w:r>
          </w:p>
        </w:tc>
        <w:tc>
          <w:tcPr>
            <w:tcW w:w="2138" w:type="dxa"/>
          </w:tcPr>
          <w:p w14:paraId="0E53F550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73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(therapeutic and pharmacologic)</w:t>
            </w:r>
          </w:p>
        </w:tc>
        <w:tc>
          <w:tcPr>
            <w:tcW w:w="2019" w:type="dxa"/>
          </w:tcPr>
          <w:p w14:paraId="45F6A759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73">
              <w:rPr>
                <w:rFonts w:ascii="Times New Roman" w:hAnsi="Times New Roman" w:cs="Times New Roman"/>
                <w:b/>
                <w:sz w:val="24"/>
                <w:szCs w:val="24"/>
              </w:rPr>
              <w:t>Indication for use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(specific to this patient)</w:t>
            </w:r>
          </w:p>
        </w:tc>
        <w:tc>
          <w:tcPr>
            <w:tcW w:w="3319" w:type="dxa"/>
          </w:tcPr>
          <w:p w14:paraId="227EDE65" w14:textId="77777777" w:rsidR="00EF691B" w:rsidRPr="00202473" w:rsidRDefault="00EF691B" w:rsidP="00D05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473">
              <w:rPr>
                <w:rFonts w:ascii="Times New Roman" w:hAnsi="Times New Roman" w:cs="Times New Roman"/>
                <w:b/>
                <w:sz w:val="24"/>
                <w:szCs w:val="24"/>
              </w:rPr>
              <w:t>Nursing Interventions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(Assessment)</w:t>
            </w:r>
          </w:p>
        </w:tc>
      </w:tr>
      <w:tr w:rsidR="00EF691B" w14:paraId="24E8E014" w14:textId="77777777" w:rsidTr="00FD676F">
        <w:tc>
          <w:tcPr>
            <w:tcW w:w="1874" w:type="dxa"/>
          </w:tcPr>
          <w:p w14:paraId="7AE5E7B7" w14:textId="77777777" w:rsidR="00EF691B" w:rsidRDefault="00291357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Morphine Sulfate</w:t>
            </w:r>
          </w:p>
        </w:tc>
        <w:tc>
          <w:tcPr>
            <w:tcW w:w="2138" w:type="dxa"/>
          </w:tcPr>
          <w:p w14:paraId="60F75C2D" w14:textId="77777777" w:rsidR="00EF691B" w:rsidRDefault="00FD676F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Opioid analgesics, opioid agonists</w:t>
            </w:r>
          </w:p>
        </w:tc>
        <w:tc>
          <w:tcPr>
            <w:tcW w:w="2019" w:type="dxa"/>
          </w:tcPr>
          <w:p w14:paraId="0C981E91" w14:textId="77777777" w:rsidR="00EF691B" w:rsidRDefault="00FD676F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Postop pain</w:t>
            </w:r>
          </w:p>
        </w:tc>
        <w:tc>
          <w:tcPr>
            <w:tcW w:w="3319" w:type="dxa"/>
          </w:tcPr>
          <w:p w14:paraId="42D94996" w14:textId="77777777" w:rsidR="00EF691B" w:rsidRDefault="00FD676F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assessments!!</w:t>
            </w:r>
          </w:p>
        </w:tc>
      </w:tr>
      <w:tr w:rsidR="00EF691B" w14:paraId="49411A47" w14:textId="77777777" w:rsidTr="00FD676F">
        <w:tc>
          <w:tcPr>
            <w:tcW w:w="1874" w:type="dxa"/>
          </w:tcPr>
          <w:p w14:paraId="14E917EA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D472BC5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E671482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138AA74E" w14:textId="77777777" w:rsidR="00EF691B" w:rsidRDefault="00EF691B" w:rsidP="00D05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9DF72" w14:textId="77777777" w:rsidR="00EF691B" w:rsidRDefault="00EF691B" w:rsidP="00EF691B">
      <w:bookmarkStart w:id="0" w:name="_GoBack"/>
      <w:bookmarkEnd w:id="0"/>
    </w:p>
    <w:sectPr w:rsidR="00EF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1B"/>
    <w:rsid w:val="00291357"/>
    <w:rsid w:val="008B1A0C"/>
    <w:rsid w:val="00A71152"/>
    <w:rsid w:val="00EF691B"/>
    <w:rsid w:val="00F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79BE"/>
  <w15:chartTrackingRefBased/>
  <w15:docId w15:val="{3E47EAA4-FB3E-48B3-A2C5-EEE2EA29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69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9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Ammanniti, Kelly - School of Nursing</dc:creator>
  <cp:keywords/>
  <dc:description/>
  <cp:lastModifiedBy>Emily Klimczynski</cp:lastModifiedBy>
  <cp:revision>2</cp:revision>
  <dcterms:created xsi:type="dcterms:W3CDTF">2020-04-04T20:47:00Z</dcterms:created>
  <dcterms:modified xsi:type="dcterms:W3CDTF">2020-04-04T20:47:00Z</dcterms:modified>
</cp:coreProperties>
</file>