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8A6361" w14:textId="56FC9710" w:rsidR="00C65AF0" w:rsidRDefault="00C65AF0" w:rsidP="009A301D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Rubric – </w:t>
      </w:r>
      <w:r w:rsidR="009B2913">
        <w:rPr>
          <w:b/>
          <w:bCs/>
          <w:lang w:val="en-US"/>
        </w:rPr>
        <w:t>Narrative Homiletical Conclusions/Act I Outline</w:t>
      </w:r>
    </w:p>
    <w:p w14:paraId="05285821" w14:textId="77777777" w:rsidR="009A301D" w:rsidRDefault="009A301D" w:rsidP="002F40B3">
      <w:pPr>
        <w:jc w:val="center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1984"/>
        <w:gridCol w:w="2071"/>
        <w:gridCol w:w="1870"/>
        <w:gridCol w:w="1870"/>
      </w:tblGrid>
      <w:tr w:rsidR="00C65AF0" w14:paraId="60737A1D" w14:textId="77777777" w:rsidTr="00214666">
        <w:tc>
          <w:tcPr>
            <w:tcW w:w="1555" w:type="dxa"/>
          </w:tcPr>
          <w:p w14:paraId="733F2F30" w14:textId="77777777" w:rsidR="00C65AF0" w:rsidRDefault="00C65AF0" w:rsidP="00C65AF0">
            <w:pPr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1984" w:type="dxa"/>
          </w:tcPr>
          <w:p w14:paraId="5A0231FB" w14:textId="3F01C811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Excellent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(100%)</w:t>
            </w:r>
          </w:p>
        </w:tc>
        <w:tc>
          <w:tcPr>
            <w:tcW w:w="2071" w:type="dxa"/>
          </w:tcPr>
          <w:p w14:paraId="2144599B" w14:textId="663E947C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Good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</w:t>
            </w:r>
            <w:r w:rsidR="00044E51">
              <w:rPr>
                <w:lang w:val="en-US"/>
              </w:rPr>
              <w:t>90</w:t>
            </w:r>
            <w:r w:rsidR="00422819">
              <w:rPr>
                <w:lang w:val="en-US"/>
              </w:rPr>
              <w:t>%)</w:t>
            </w:r>
          </w:p>
        </w:tc>
        <w:tc>
          <w:tcPr>
            <w:tcW w:w="1870" w:type="dxa"/>
          </w:tcPr>
          <w:p w14:paraId="562E469B" w14:textId="69E36E6B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Fair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</w:t>
            </w:r>
            <w:r w:rsidR="00044E51">
              <w:rPr>
                <w:lang w:val="en-US"/>
              </w:rPr>
              <w:t>80</w:t>
            </w:r>
            <w:r w:rsidR="00422819">
              <w:rPr>
                <w:lang w:val="en-US"/>
              </w:rPr>
              <w:t>%)</w:t>
            </w:r>
          </w:p>
        </w:tc>
        <w:tc>
          <w:tcPr>
            <w:tcW w:w="1870" w:type="dxa"/>
          </w:tcPr>
          <w:p w14:paraId="48578418" w14:textId="2E09F843" w:rsidR="00C65AF0" w:rsidRPr="00422819" w:rsidRDefault="00C65AF0" w:rsidP="00C65AF0">
            <w:pPr>
              <w:jc w:val="center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Poor</w:t>
            </w:r>
            <w:r w:rsidR="00422819">
              <w:rPr>
                <w:b/>
                <w:bCs/>
                <w:lang w:val="en-US"/>
              </w:rPr>
              <w:t xml:space="preserve"> </w:t>
            </w:r>
            <w:r w:rsidR="00422819">
              <w:rPr>
                <w:lang w:val="en-US"/>
              </w:rPr>
              <w:t>(</w:t>
            </w:r>
            <w:r w:rsidR="00044E51">
              <w:rPr>
                <w:lang w:val="en-US"/>
              </w:rPr>
              <w:t>70</w:t>
            </w:r>
            <w:r w:rsidR="00422819">
              <w:rPr>
                <w:lang w:val="en-US"/>
              </w:rPr>
              <w:t>%)</w:t>
            </w:r>
          </w:p>
        </w:tc>
      </w:tr>
      <w:tr w:rsidR="00121436" w14:paraId="2E8EB368" w14:textId="77777777" w:rsidTr="00214666">
        <w:tc>
          <w:tcPr>
            <w:tcW w:w="1555" w:type="dxa"/>
          </w:tcPr>
          <w:p w14:paraId="65868CDF" w14:textId="49EF26A5" w:rsidR="00E9634E" w:rsidRDefault="00214666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Narrative Homiletical Conclusions</w:t>
            </w:r>
          </w:p>
          <w:p w14:paraId="54793329" w14:textId="6B8688A7" w:rsidR="00154214" w:rsidRDefault="00154214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="00214666">
              <w:rPr>
                <w:b/>
                <w:bCs/>
                <w:lang w:val="en-US"/>
              </w:rPr>
              <w:t>25</w:t>
            </w:r>
            <w:r>
              <w:rPr>
                <w:b/>
                <w:bCs/>
                <w:lang w:val="en-US"/>
              </w:rPr>
              <w:t>%)</w:t>
            </w:r>
          </w:p>
        </w:tc>
        <w:tc>
          <w:tcPr>
            <w:tcW w:w="1984" w:type="dxa"/>
          </w:tcPr>
          <w:p w14:paraId="48AC81B0" w14:textId="6D90B0EB" w:rsidR="00121436" w:rsidRDefault="00214666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Conclusions expanded with strong tension statement and excellent exegetical clue with a clear path to a well-crafted and refined controlling idea.</w:t>
            </w:r>
          </w:p>
        </w:tc>
        <w:tc>
          <w:tcPr>
            <w:tcW w:w="2071" w:type="dxa"/>
          </w:tcPr>
          <w:p w14:paraId="1CF815F4" w14:textId="7790524F" w:rsidR="00121436" w:rsidRDefault="00214666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Added to previous conclusions appropriate statement of tension and an exegetical clue that will lead well toward a clear controlling idea.</w:t>
            </w:r>
          </w:p>
        </w:tc>
        <w:tc>
          <w:tcPr>
            <w:tcW w:w="1870" w:type="dxa"/>
          </w:tcPr>
          <w:p w14:paraId="746F0362" w14:textId="5E07CB33" w:rsidR="00121436" w:rsidRDefault="00214666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Generally solid narrative conclusions but omitted one of the elements or some were unclear.</w:t>
            </w:r>
          </w:p>
        </w:tc>
        <w:tc>
          <w:tcPr>
            <w:tcW w:w="1870" w:type="dxa"/>
          </w:tcPr>
          <w:p w14:paraId="61E1CD52" w14:textId="64589608" w:rsidR="00121436" w:rsidRDefault="00214666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Little was added to homiletical conclusions that would support the demands of a story-shaped sermon.</w:t>
            </w:r>
          </w:p>
        </w:tc>
      </w:tr>
      <w:tr w:rsidR="00925A41" w14:paraId="579C7EA0" w14:textId="77777777" w:rsidTr="00214666">
        <w:tc>
          <w:tcPr>
            <w:tcW w:w="1555" w:type="dxa"/>
          </w:tcPr>
          <w:p w14:paraId="2873B49E" w14:textId="49C94674" w:rsidR="00E9634E" w:rsidRDefault="00214666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Setting/ Lead</w:t>
            </w:r>
          </w:p>
          <w:p w14:paraId="0C2938DF" w14:textId="35041F3E" w:rsidR="00154214" w:rsidRDefault="00154214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(25%)</w:t>
            </w:r>
          </w:p>
        </w:tc>
        <w:tc>
          <w:tcPr>
            <w:tcW w:w="1984" w:type="dxa"/>
          </w:tcPr>
          <w:p w14:paraId="24777B23" w14:textId="0A97A8B7" w:rsidR="00925A41" w:rsidRDefault="00214666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 xml:space="preserve">High degree of engagement from the first </w:t>
            </w:r>
            <w:r w:rsidR="00E67D61">
              <w:rPr>
                <w:rFonts w:ascii="OpenSans" w:hAnsi="OpenSans"/>
                <w:sz w:val="22"/>
                <w:szCs w:val="21"/>
              </w:rPr>
              <w:t>line.  Equilibrium is present, but vulnerability is obvious, foreshadowing the inciting incident.</w:t>
            </w:r>
          </w:p>
        </w:tc>
        <w:tc>
          <w:tcPr>
            <w:tcW w:w="2071" w:type="dxa"/>
          </w:tcPr>
          <w:p w14:paraId="16BBA311" w14:textId="7F1D50FF" w:rsidR="00925A41" w:rsidRDefault="00214666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Clear plans to begin the sermon in an interesting way that will lead naturally to the inciting incident.  Vulnerability is present but not obvious.</w:t>
            </w:r>
          </w:p>
        </w:tc>
        <w:tc>
          <w:tcPr>
            <w:tcW w:w="1870" w:type="dxa"/>
          </w:tcPr>
          <w:p w14:paraId="376B833E" w14:textId="26BB4DFD" w:rsidR="00925A41" w:rsidRDefault="00E67D61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Opening gets attention, but there is no strong sense of vulnerability that would indicate an inciting incident is on the way.</w:t>
            </w:r>
          </w:p>
        </w:tc>
        <w:tc>
          <w:tcPr>
            <w:tcW w:w="1870" w:type="dxa"/>
          </w:tcPr>
          <w:p w14:paraId="3296A09D" w14:textId="58EF14A7" w:rsidR="00925A41" w:rsidRDefault="00E67D61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Generic opening with no hint of impending narrative tension.</w:t>
            </w:r>
          </w:p>
        </w:tc>
      </w:tr>
      <w:tr w:rsidR="00925A41" w14:paraId="7683916C" w14:textId="77777777" w:rsidTr="00214666">
        <w:tc>
          <w:tcPr>
            <w:tcW w:w="1555" w:type="dxa"/>
          </w:tcPr>
          <w:p w14:paraId="1F7A8A32" w14:textId="4878B8B9" w:rsidR="00E9634E" w:rsidRDefault="00214666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Inciting Incident/ Developing Tension</w:t>
            </w:r>
          </w:p>
          <w:p w14:paraId="053D1237" w14:textId="50EAF20D" w:rsidR="00154214" w:rsidRDefault="00154214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(25%)</w:t>
            </w:r>
          </w:p>
        </w:tc>
        <w:tc>
          <w:tcPr>
            <w:tcW w:w="1984" w:type="dxa"/>
          </w:tcPr>
          <w:p w14:paraId="12F07431" w14:textId="1BD427C9" w:rsidR="00925A41" w:rsidRDefault="00E67D61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 xml:space="preserve">Inciting incident is striking and </w:t>
            </w:r>
            <w:proofErr w:type="gramStart"/>
            <w:r>
              <w:rPr>
                <w:rFonts w:ascii="OpenSans" w:hAnsi="OpenSans"/>
                <w:sz w:val="22"/>
                <w:szCs w:val="21"/>
              </w:rPr>
              <w:t>vivid, and</w:t>
            </w:r>
            <w:proofErr w:type="gramEnd"/>
            <w:r>
              <w:rPr>
                <w:rFonts w:ascii="OpenSans" w:hAnsi="OpenSans"/>
                <w:sz w:val="22"/>
                <w:szCs w:val="21"/>
              </w:rPr>
              <w:t xml:space="preserve"> leads to </w:t>
            </w:r>
            <w:proofErr w:type="spellStart"/>
            <w:r>
              <w:rPr>
                <w:rFonts w:ascii="OpenSans" w:hAnsi="OpenSans"/>
                <w:sz w:val="22"/>
                <w:szCs w:val="21"/>
              </w:rPr>
              <w:t>ann</w:t>
            </w:r>
            <w:proofErr w:type="spellEnd"/>
            <w:r>
              <w:rPr>
                <w:rFonts w:ascii="OpenSans" w:hAnsi="OpenSans"/>
                <w:sz w:val="22"/>
                <w:szCs w:val="21"/>
              </w:rPr>
              <w:t xml:space="preserve"> engaging discussion of a problem of profound significance for hearers.   Strong anticipation of story to come.</w:t>
            </w:r>
          </w:p>
        </w:tc>
        <w:tc>
          <w:tcPr>
            <w:tcW w:w="2071" w:type="dxa"/>
          </w:tcPr>
          <w:p w14:paraId="2DA635B9" w14:textId="416EBF65" w:rsidR="00925A41" w:rsidRDefault="00E67D61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Presents a clear problem, question, or tension that matters to hearers, and develops it with enough depth that hearers are aware that the solution is both important and difficult.</w:t>
            </w:r>
            <w:r w:rsidR="00F637AE">
              <w:rPr>
                <w:rFonts w:ascii="OpenSans" w:hAnsi="OpenSans"/>
                <w:sz w:val="22"/>
                <w:szCs w:val="21"/>
              </w:rPr>
              <w:t xml:space="preserve"> </w:t>
            </w:r>
            <w:r w:rsidR="002F40B3">
              <w:rPr>
                <w:rFonts w:ascii="OpenSans" w:hAnsi="OpenSans"/>
                <w:sz w:val="22"/>
                <w:szCs w:val="21"/>
              </w:rPr>
              <w:t xml:space="preserve"> </w:t>
            </w:r>
          </w:p>
        </w:tc>
        <w:tc>
          <w:tcPr>
            <w:tcW w:w="1870" w:type="dxa"/>
          </w:tcPr>
          <w:p w14:paraId="5C67BD57" w14:textId="40ABD77A" w:rsidR="00925A41" w:rsidRDefault="00E67D61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 xml:space="preserve">A problem is raised and examined, but </w:t>
            </w:r>
            <w:r w:rsidR="00B12565">
              <w:rPr>
                <w:rFonts w:ascii="OpenSans" w:hAnsi="OpenSans"/>
                <w:sz w:val="22"/>
                <w:szCs w:val="21"/>
              </w:rPr>
              <w:t>with little sense of its importance for the hearers.  Interest is purely intellectual with little at stake.</w:t>
            </w:r>
          </w:p>
        </w:tc>
        <w:tc>
          <w:tcPr>
            <w:tcW w:w="1870" w:type="dxa"/>
          </w:tcPr>
          <w:p w14:paraId="12D7A938" w14:textId="263C5A5D" w:rsidR="00925A41" w:rsidRDefault="00B12565" w:rsidP="00C65AF0">
            <w:pPr>
              <w:pStyle w:val="NormalWeb"/>
              <w:shd w:val="clear" w:color="auto" w:fill="FFFFFF"/>
              <w:rPr>
                <w:rFonts w:ascii="OpenSans" w:hAnsi="OpenSans"/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No real sense of a problem to solve, a question to answer, or a tension to resolve.  Merely presents a topic.</w:t>
            </w:r>
          </w:p>
        </w:tc>
      </w:tr>
      <w:tr w:rsidR="00C65AF0" w14:paraId="18D89BF0" w14:textId="77777777" w:rsidTr="00214666">
        <w:tc>
          <w:tcPr>
            <w:tcW w:w="1555" w:type="dxa"/>
          </w:tcPr>
          <w:p w14:paraId="2F0111DD" w14:textId="77777777" w:rsidR="00214666" w:rsidRDefault="00214666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Launching Quest</w:t>
            </w:r>
            <w:r w:rsidR="00F637AE">
              <w:rPr>
                <w:b/>
                <w:bCs/>
                <w:lang w:val="en-US"/>
              </w:rPr>
              <w:t xml:space="preserve"> </w:t>
            </w:r>
          </w:p>
          <w:p w14:paraId="2620DBE4" w14:textId="500E5F3F" w:rsidR="00C65AF0" w:rsidRDefault="008311CD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="00154214">
              <w:rPr>
                <w:b/>
                <w:bCs/>
                <w:lang w:val="en-US"/>
              </w:rPr>
              <w:t>1</w:t>
            </w:r>
            <w:r w:rsidR="00214666">
              <w:rPr>
                <w:b/>
                <w:bCs/>
                <w:lang w:val="en-US"/>
              </w:rPr>
              <w:t>5</w:t>
            </w:r>
            <w:r>
              <w:rPr>
                <w:b/>
                <w:bCs/>
                <w:lang w:val="en-US"/>
              </w:rPr>
              <w:t>%)</w:t>
            </w:r>
          </w:p>
          <w:p w14:paraId="4429FAED" w14:textId="24981191" w:rsidR="00C65AF0" w:rsidRPr="00C65AF0" w:rsidRDefault="00C65AF0" w:rsidP="00C65AF0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</w:tcPr>
          <w:p w14:paraId="198C2DC4" w14:textId="27EBAE50" w:rsidR="00C65AF0" w:rsidRPr="00C65AF0" w:rsidRDefault="00B047BD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>Clear sense that the text will be crucial to resolving the tension of the sermon, enhanced by engaging intro to the text.</w:t>
            </w:r>
          </w:p>
        </w:tc>
        <w:tc>
          <w:tcPr>
            <w:tcW w:w="2071" w:type="dxa"/>
          </w:tcPr>
          <w:p w14:paraId="31C47F9C" w14:textId="17FE5D05" w:rsidR="00C65AF0" w:rsidRPr="00C65AF0" w:rsidRDefault="00B047BD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 xml:space="preserve">Act I </w:t>
            </w:r>
            <w:proofErr w:type="gramStart"/>
            <w:r>
              <w:rPr>
                <w:sz w:val="22"/>
                <w:szCs w:val="21"/>
              </w:rPr>
              <w:t>concludes</w:t>
            </w:r>
            <w:proofErr w:type="gramEnd"/>
            <w:r>
              <w:rPr>
                <w:sz w:val="22"/>
                <w:szCs w:val="21"/>
              </w:rPr>
              <w:t xml:space="preserve"> by pointing to the text with a clear sense that the questions raised will be answered there.  Some introduction to the text.</w:t>
            </w:r>
          </w:p>
        </w:tc>
        <w:tc>
          <w:tcPr>
            <w:tcW w:w="1870" w:type="dxa"/>
          </w:tcPr>
          <w:p w14:paraId="5A60617B" w14:textId="6975F093" w:rsidR="00C65AF0" w:rsidRPr="00C65AF0" w:rsidRDefault="00B047BD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 xml:space="preserve">Calls attention to the text as the </w:t>
            </w:r>
            <w:proofErr w:type="spellStart"/>
            <w:r>
              <w:rPr>
                <w:rFonts w:ascii="OpenSans" w:hAnsi="OpenSans"/>
                <w:sz w:val="22"/>
                <w:szCs w:val="21"/>
              </w:rPr>
              <w:t>plae</w:t>
            </w:r>
            <w:proofErr w:type="spellEnd"/>
            <w:r>
              <w:rPr>
                <w:rFonts w:ascii="OpenSans" w:hAnsi="OpenSans"/>
                <w:sz w:val="22"/>
                <w:szCs w:val="21"/>
              </w:rPr>
              <w:t xml:space="preserve"> to find a solution, but with moderate anticipation and little introduction.</w:t>
            </w:r>
          </w:p>
        </w:tc>
        <w:tc>
          <w:tcPr>
            <w:tcW w:w="1870" w:type="dxa"/>
          </w:tcPr>
          <w:p w14:paraId="3E889568" w14:textId="2CEEDE1A" w:rsidR="00C65AF0" w:rsidRPr="00C65AF0" w:rsidRDefault="00B047BD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>
              <w:rPr>
                <w:rFonts w:ascii="OpenSans" w:hAnsi="OpenSans"/>
                <w:sz w:val="22"/>
                <w:szCs w:val="21"/>
              </w:rPr>
              <w:t xml:space="preserve">Neglected to point to or introduce the </w:t>
            </w:r>
            <w:proofErr w:type="gramStart"/>
            <w:r>
              <w:rPr>
                <w:rFonts w:ascii="OpenSans" w:hAnsi="OpenSans"/>
                <w:sz w:val="22"/>
                <w:szCs w:val="21"/>
              </w:rPr>
              <w:t>text, or</w:t>
            </w:r>
            <w:proofErr w:type="gramEnd"/>
            <w:r>
              <w:rPr>
                <w:rFonts w:ascii="OpenSans" w:hAnsi="OpenSans"/>
                <w:sz w:val="22"/>
                <w:szCs w:val="21"/>
              </w:rPr>
              <w:t xml:space="preserve"> did so in a scant and/or perfunctory manner.</w:t>
            </w:r>
            <w:r w:rsidR="00C65AF0" w:rsidRPr="00C65AF0">
              <w:rPr>
                <w:rFonts w:ascii="OpenSans" w:hAnsi="OpenSans"/>
                <w:sz w:val="22"/>
                <w:szCs w:val="21"/>
              </w:rPr>
              <w:t xml:space="preserve"> </w:t>
            </w:r>
          </w:p>
        </w:tc>
      </w:tr>
      <w:tr w:rsidR="00C65AF0" w14:paraId="7E52AF18" w14:textId="77777777" w:rsidTr="00214666">
        <w:tc>
          <w:tcPr>
            <w:tcW w:w="1555" w:type="dxa"/>
          </w:tcPr>
          <w:p w14:paraId="6B9C888A" w14:textId="69E6052F" w:rsidR="00C65AF0" w:rsidRDefault="00C65AF0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Quality</w:t>
            </w:r>
            <w:r w:rsidR="008311CD">
              <w:rPr>
                <w:b/>
                <w:bCs/>
                <w:lang w:val="en-US"/>
              </w:rPr>
              <w:t xml:space="preserve"> </w:t>
            </w:r>
          </w:p>
          <w:p w14:paraId="3861C533" w14:textId="4A7375DC" w:rsidR="008311CD" w:rsidRDefault="008311CD" w:rsidP="00C65A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</w:t>
            </w:r>
            <w:r w:rsidR="00154214">
              <w:rPr>
                <w:b/>
                <w:bCs/>
                <w:lang w:val="en-US"/>
              </w:rPr>
              <w:t>10</w:t>
            </w:r>
            <w:r>
              <w:rPr>
                <w:b/>
                <w:bCs/>
                <w:lang w:val="en-US"/>
              </w:rPr>
              <w:t>%)</w:t>
            </w:r>
          </w:p>
          <w:p w14:paraId="48E301E8" w14:textId="78E69B60" w:rsidR="00C65AF0" w:rsidRPr="00C65AF0" w:rsidRDefault="00C65AF0" w:rsidP="00C65AF0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</w:tcPr>
          <w:p w14:paraId="47CCF234" w14:textId="72548DA4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Free of grammatical, spelling or punctuation errors. The style of writing facilitates communication. </w:t>
            </w:r>
          </w:p>
        </w:tc>
        <w:tc>
          <w:tcPr>
            <w:tcW w:w="2071" w:type="dxa"/>
          </w:tcPr>
          <w:p w14:paraId="1C749553" w14:textId="4FE2C109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Largely free of grammatical, spelling or punctuation errors. The style generally facilitates communication. </w:t>
            </w:r>
          </w:p>
        </w:tc>
        <w:tc>
          <w:tcPr>
            <w:tcW w:w="1870" w:type="dxa"/>
          </w:tcPr>
          <w:p w14:paraId="3F91623A" w14:textId="32457E84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Some grammatical, spelling or punctuation errors that distract the reader. </w:t>
            </w:r>
          </w:p>
        </w:tc>
        <w:tc>
          <w:tcPr>
            <w:tcW w:w="1870" w:type="dxa"/>
          </w:tcPr>
          <w:p w14:paraId="47721314" w14:textId="7524D9BA" w:rsidR="00C65AF0" w:rsidRPr="00C65AF0" w:rsidRDefault="00C65AF0" w:rsidP="00C65AF0">
            <w:pPr>
              <w:pStyle w:val="NormalWeb"/>
              <w:shd w:val="clear" w:color="auto" w:fill="FFFFFF"/>
              <w:rPr>
                <w:sz w:val="22"/>
                <w:szCs w:val="21"/>
              </w:rPr>
            </w:pPr>
            <w:r w:rsidRPr="00C65AF0">
              <w:rPr>
                <w:rFonts w:ascii="OpenSans" w:hAnsi="OpenSans"/>
                <w:sz w:val="22"/>
                <w:szCs w:val="21"/>
              </w:rPr>
              <w:t xml:space="preserve">Numerous </w:t>
            </w:r>
            <w:r w:rsidR="009A301D">
              <w:rPr>
                <w:rFonts w:ascii="OpenSans" w:hAnsi="OpenSans"/>
                <w:sz w:val="22"/>
                <w:szCs w:val="21"/>
              </w:rPr>
              <w:t xml:space="preserve">errors of </w:t>
            </w:r>
            <w:r w:rsidRPr="00C65AF0">
              <w:rPr>
                <w:rFonts w:ascii="OpenSans" w:hAnsi="OpenSans"/>
                <w:sz w:val="22"/>
                <w:szCs w:val="21"/>
              </w:rPr>
              <w:t>gramma</w:t>
            </w:r>
            <w:r w:rsidR="009A301D">
              <w:rPr>
                <w:rFonts w:ascii="OpenSans" w:hAnsi="OpenSans"/>
                <w:sz w:val="22"/>
                <w:szCs w:val="21"/>
              </w:rPr>
              <w:t>r</w:t>
            </w:r>
            <w:r w:rsidRPr="00C65AF0">
              <w:rPr>
                <w:rFonts w:ascii="OpenSans" w:hAnsi="OpenSans"/>
                <w:sz w:val="22"/>
                <w:szCs w:val="21"/>
              </w:rPr>
              <w:t xml:space="preserve">, spelling or punctuation errors. The </w:t>
            </w:r>
            <w:proofErr w:type="gramStart"/>
            <w:r w:rsidRPr="00C65AF0">
              <w:rPr>
                <w:rFonts w:ascii="OpenSans" w:hAnsi="OpenSans"/>
                <w:sz w:val="22"/>
                <w:szCs w:val="21"/>
              </w:rPr>
              <w:t>style  doesn't</w:t>
            </w:r>
            <w:proofErr w:type="gramEnd"/>
            <w:r w:rsidRPr="00C65AF0">
              <w:rPr>
                <w:rFonts w:ascii="OpenSans" w:hAnsi="OpenSans"/>
                <w:sz w:val="22"/>
                <w:szCs w:val="21"/>
              </w:rPr>
              <w:t xml:space="preserve"> facilitate effective communication. </w:t>
            </w:r>
          </w:p>
        </w:tc>
      </w:tr>
    </w:tbl>
    <w:p w14:paraId="71CA6D18" w14:textId="77777777" w:rsidR="00C65AF0" w:rsidRPr="00C65AF0" w:rsidRDefault="00C65AF0" w:rsidP="00422819">
      <w:pPr>
        <w:rPr>
          <w:b/>
          <w:bCs/>
          <w:lang w:val="en-US"/>
        </w:rPr>
      </w:pPr>
    </w:p>
    <w:sectPr w:rsidR="00C65AF0" w:rsidRPr="00C65AF0" w:rsidSect="00F31E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OpenSans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264CB3"/>
    <w:multiLevelType w:val="hybridMultilevel"/>
    <w:tmpl w:val="8CD8E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F0"/>
    <w:rsid w:val="00044E51"/>
    <w:rsid w:val="0005316B"/>
    <w:rsid w:val="00121436"/>
    <w:rsid w:val="00152CD1"/>
    <w:rsid w:val="00154214"/>
    <w:rsid w:val="00214666"/>
    <w:rsid w:val="002F40B3"/>
    <w:rsid w:val="00301644"/>
    <w:rsid w:val="00422819"/>
    <w:rsid w:val="0042298E"/>
    <w:rsid w:val="00793C3E"/>
    <w:rsid w:val="008311CD"/>
    <w:rsid w:val="00925A41"/>
    <w:rsid w:val="009A301D"/>
    <w:rsid w:val="009B2913"/>
    <w:rsid w:val="009C6C11"/>
    <w:rsid w:val="00A662EC"/>
    <w:rsid w:val="00B047BD"/>
    <w:rsid w:val="00B12565"/>
    <w:rsid w:val="00C65AF0"/>
    <w:rsid w:val="00D77F41"/>
    <w:rsid w:val="00E67D61"/>
    <w:rsid w:val="00E9634E"/>
    <w:rsid w:val="00F31EA4"/>
    <w:rsid w:val="00F6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CA19BA"/>
  <w15:chartTrackingRefBased/>
  <w15:docId w15:val="{CDDE688C-9FC3-6948-B69B-65E1CCD50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65A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5AF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37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74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00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1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22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2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48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94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8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142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9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3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82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50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5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2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5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9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29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2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56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48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56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651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98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13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38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79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2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28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1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37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4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99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2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268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5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87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4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3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3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6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77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5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01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2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9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6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32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6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0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7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85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7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8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5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77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5</cp:revision>
  <dcterms:created xsi:type="dcterms:W3CDTF">2020-10-01T01:35:00Z</dcterms:created>
  <dcterms:modified xsi:type="dcterms:W3CDTF">2020-10-01T01:41:00Z</dcterms:modified>
</cp:coreProperties>
</file>