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8F6BD" w14:textId="6CC03FDF" w:rsidR="00A662EC" w:rsidRDefault="00C65AF0" w:rsidP="00C65AF0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Rubric – </w:t>
      </w:r>
      <w:r w:rsidR="00FF352A">
        <w:rPr>
          <w:b/>
          <w:bCs/>
          <w:lang w:val="en-US"/>
        </w:rPr>
        <w:t>Definition of Preaching</w:t>
      </w:r>
    </w:p>
    <w:p w14:paraId="1C8A6361" w14:textId="041341A8" w:rsidR="00C65AF0" w:rsidRDefault="00C65AF0" w:rsidP="00C65AF0">
      <w:pPr>
        <w:jc w:val="center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C65AF0" w14:paraId="60737A1D" w14:textId="77777777" w:rsidTr="00C65AF0">
        <w:tc>
          <w:tcPr>
            <w:tcW w:w="1870" w:type="dxa"/>
          </w:tcPr>
          <w:p w14:paraId="733F2F30" w14:textId="77777777" w:rsidR="00C65AF0" w:rsidRDefault="00C65AF0" w:rsidP="00C65AF0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870" w:type="dxa"/>
          </w:tcPr>
          <w:p w14:paraId="5A0231FB" w14:textId="3F01C811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Excellent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(100%)</w:t>
            </w:r>
          </w:p>
        </w:tc>
        <w:tc>
          <w:tcPr>
            <w:tcW w:w="1870" w:type="dxa"/>
          </w:tcPr>
          <w:p w14:paraId="2144599B" w14:textId="57FF9E57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Good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</w:t>
            </w:r>
            <w:r w:rsidR="005B62E9">
              <w:rPr>
                <w:lang w:val="en-US"/>
              </w:rPr>
              <w:t>90</w:t>
            </w:r>
            <w:r w:rsidR="00422819">
              <w:rPr>
                <w:lang w:val="en-US"/>
              </w:rPr>
              <w:t>%)</w:t>
            </w:r>
          </w:p>
        </w:tc>
        <w:tc>
          <w:tcPr>
            <w:tcW w:w="1870" w:type="dxa"/>
          </w:tcPr>
          <w:p w14:paraId="562E469B" w14:textId="5CCC8310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Fair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</w:t>
            </w:r>
            <w:r w:rsidR="005B62E9">
              <w:rPr>
                <w:lang w:val="en-US"/>
              </w:rPr>
              <w:t>80</w:t>
            </w:r>
            <w:r w:rsidR="00422819">
              <w:rPr>
                <w:lang w:val="en-US"/>
              </w:rPr>
              <w:t>%)</w:t>
            </w:r>
          </w:p>
        </w:tc>
        <w:tc>
          <w:tcPr>
            <w:tcW w:w="1870" w:type="dxa"/>
          </w:tcPr>
          <w:p w14:paraId="48578418" w14:textId="1EA35C50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Poor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</w:t>
            </w:r>
            <w:r w:rsidR="005B62E9">
              <w:rPr>
                <w:lang w:val="en-US"/>
              </w:rPr>
              <w:t>70</w:t>
            </w:r>
            <w:r w:rsidR="00422819">
              <w:rPr>
                <w:lang w:val="en-US"/>
              </w:rPr>
              <w:t>%)</w:t>
            </w:r>
          </w:p>
        </w:tc>
      </w:tr>
      <w:tr w:rsidR="00FF352A" w14:paraId="22725F3E" w14:textId="77777777" w:rsidTr="00C65AF0">
        <w:tc>
          <w:tcPr>
            <w:tcW w:w="1870" w:type="dxa"/>
          </w:tcPr>
          <w:p w14:paraId="58CC172F" w14:textId="77777777" w:rsidR="005B62E9" w:rsidRDefault="00FF352A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Definition  </w:t>
            </w:r>
          </w:p>
          <w:p w14:paraId="5D9A3EDB" w14:textId="0198AA5B" w:rsidR="00FF352A" w:rsidRDefault="00FF352A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</w:t>
            </w:r>
            <w:r w:rsidR="00574A24">
              <w:rPr>
                <w:b/>
                <w:bCs/>
                <w:lang w:val="en-US"/>
              </w:rPr>
              <w:t>40</w:t>
            </w:r>
            <w:r w:rsidR="005B62E9">
              <w:rPr>
                <w:b/>
                <w:bCs/>
                <w:lang w:val="en-US"/>
              </w:rPr>
              <w:t xml:space="preserve"> points</w:t>
            </w:r>
            <w:r>
              <w:rPr>
                <w:b/>
                <w:bCs/>
                <w:lang w:val="en-US"/>
              </w:rPr>
              <w:t>)</w:t>
            </w:r>
          </w:p>
          <w:p w14:paraId="5A4F6F6D" w14:textId="741E6C67" w:rsidR="00FF352A" w:rsidRPr="00C65AF0" w:rsidRDefault="00FF352A" w:rsidP="00C65A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Brief definition of biblical preaching.</w:t>
            </w:r>
          </w:p>
        </w:tc>
        <w:tc>
          <w:tcPr>
            <w:tcW w:w="1870" w:type="dxa"/>
          </w:tcPr>
          <w:p w14:paraId="347296F8" w14:textId="14989718" w:rsidR="00FF352A" w:rsidRPr="00C65AF0" w:rsidRDefault="00FF352A" w:rsidP="00C65AF0">
            <w:pPr>
              <w:pStyle w:val="NormalWeb"/>
              <w:shd w:val="clear" w:color="auto" w:fill="FFFFFF"/>
            </w:pPr>
            <w:r>
              <w:rPr>
                <w:rFonts w:ascii="OpenSans" w:hAnsi="OpenSans"/>
                <w:sz w:val="22"/>
                <w:szCs w:val="21"/>
              </w:rPr>
              <w:t>Definition is concise and clear, as well as comprehensive, reflecting exceptionally creative thought about all of the content of the week’s lesson</w:t>
            </w:r>
            <w:r w:rsidR="00574A24">
              <w:rPr>
                <w:rFonts w:ascii="OpenSans" w:hAnsi="OpenSans"/>
                <w:sz w:val="22"/>
                <w:szCs w:val="21"/>
              </w:rPr>
              <w:t>.</w:t>
            </w:r>
          </w:p>
        </w:tc>
        <w:tc>
          <w:tcPr>
            <w:tcW w:w="1870" w:type="dxa"/>
          </w:tcPr>
          <w:p w14:paraId="2B1670ED" w14:textId="42187687" w:rsidR="00FF352A" w:rsidRPr="00C65AF0" w:rsidRDefault="00FF352A" w:rsidP="00C65AF0">
            <w:pPr>
              <w:pStyle w:val="NormalWeb"/>
              <w:shd w:val="clear" w:color="auto" w:fill="FFFFFF"/>
            </w:pPr>
            <w:r>
              <w:rPr>
                <w:rFonts w:ascii="OpenSans" w:hAnsi="OpenSans"/>
                <w:sz w:val="22"/>
                <w:szCs w:val="21"/>
              </w:rPr>
              <w:t>Definition is concise and clear reflecting sound consideration of the content of the week’s lesson.</w:t>
            </w:r>
          </w:p>
        </w:tc>
        <w:tc>
          <w:tcPr>
            <w:tcW w:w="1870" w:type="dxa"/>
          </w:tcPr>
          <w:p w14:paraId="16F6FCDB" w14:textId="2737601B" w:rsidR="00FF352A" w:rsidRPr="00C65AF0" w:rsidRDefault="00FF352A" w:rsidP="00C65AF0">
            <w:pPr>
              <w:jc w:val="center"/>
              <w:rPr>
                <w:b/>
                <w:bCs/>
              </w:rPr>
            </w:pPr>
            <w:r>
              <w:rPr>
                <w:rFonts w:ascii="OpenSans" w:hAnsi="OpenSans"/>
                <w:sz w:val="22"/>
                <w:szCs w:val="21"/>
              </w:rPr>
              <w:t>Definition is a bit long and complicated, and/or reflects some but not all of the week’s content.</w:t>
            </w:r>
          </w:p>
        </w:tc>
        <w:tc>
          <w:tcPr>
            <w:tcW w:w="1870" w:type="dxa"/>
          </w:tcPr>
          <w:p w14:paraId="1C4F1F59" w14:textId="5E9E5141" w:rsidR="00FF352A" w:rsidRPr="00C65AF0" w:rsidRDefault="00FF352A" w:rsidP="00C65AF0">
            <w:pPr>
              <w:pStyle w:val="NormalWeb"/>
              <w:shd w:val="clear" w:color="auto" w:fill="FFFFFF"/>
              <w:rPr>
                <w:sz w:val="32"/>
                <w:szCs w:val="32"/>
              </w:rPr>
            </w:pPr>
            <w:r>
              <w:rPr>
                <w:rFonts w:ascii="OpenSans" w:hAnsi="OpenSans"/>
                <w:sz w:val="22"/>
                <w:szCs w:val="21"/>
              </w:rPr>
              <w:t>Definition is difficult to decipher and seems to reflect little if any thought about the week’s content.</w:t>
            </w:r>
          </w:p>
        </w:tc>
      </w:tr>
      <w:tr w:rsidR="00FF352A" w14:paraId="08E33E55" w14:textId="77777777" w:rsidTr="00C65AF0">
        <w:tc>
          <w:tcPr>
            <w:tcW w:w="1870" w:type="dxa"/>
          </w:tcPr>
          <w:p w14:paraId="532069CC" w14:textId="77777777" w:rsidR="005B62E9" w:rsidRDefault="00FF352A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Explanation </w:t>
            </w:r>
          </w:p>
          <w:p w14:paraId="116B97B0" w14:textId="0B764421" w:rsidR="00FF352A" w:rsidRDefault="00FF352A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</w:t>
            </w:r>
            <w:r w:rsidR="00574A24">
              <w:rPr>
                <w:b/>
                <w:bCs/>
                <w:lang w:val="en-US"/>
              </w:rPr>
              <w:t>4</w:t>
            </w:r>
            <w:r w:rsidR="005B62E9">
              <w:rPr>
                <w:b/>
                <w:bCs/>
                <w:lang w:val="en-US"/>
              </w:rPr>
              <w:t>0 points</w:t>
            </w:r>
            <w:r>
              <w:rPr>
                <w:b/>
                <w:bCs/>
                <w:lang w:val="en-US"/>
              </w:rPr>
              <w:t>)</w:t>
            </w:r>
          </w:p>
          <w:p w14:paraId="18BC930F" w14:textId="6DDC3FAA" w:rsidR="00FF352A" w:rsidRPr="00C65AF0" w:rsidRDefault="00FF352A" w:rsidP="00C65A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Paragraph explaining rationale of the definition.</w:t>
            </w:r>
          </w:p>
        </w:tc>
        <w:tc>
          <w:tcPr>
            <w:tcW w:w="1870" w:type="dxa"/>
          </w:tcPr>
          <w:p w14:paraId="15626F82" w14:textId="09A1A251" w:rsidR="00FF352A" w:rsidRPr="00C65AF0" w:rsidRDefault="00FF352A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The paragraph is exceptionally well-composed</w:t>
            </w:r>
            <w:r w:rsidR="00574A24">
              <w:rPr>
                <w:rFonts w:ascii="OpenSans" w:hAnsi="OpenSans"/>
                <w:sz w:val="22"/>
                <w:szCs w:val="21"/>
              </w:rPr>
              <w:t>, amplifying the definition by demonstrating how each word points to a key aspect of preaching as discussed in this week’s material, as well as original thought on preaching.</w:t>
            </w:r>
          </w:p>
        </w:tc>
        <w:tc>
          <w:tcPr>
            <w:tcW w:w="1870" w:type="dxa"/>
          </w:tcPr>
          <w:p w14:paraId="7C5C8585" w14:textId="6CF51144" w:rsidR="00FF352A" w:rsidRPr="00C65AF0" w:rsidRDefault="00FF352A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 xml:space="preserve">The paragraph is </w:t>
            </w:r>
            <w:r w:rsidR="00574A24">
              <w:rPr>
                <w:rFonts w:ascii="OpenSans" w:hAnsi="OpenSans"/>
                <w:sz w:val="22"/>
                <w:szCs w:val="21"/>
              </w:rPr>
              <w:t>thoughtful and clear, providing a deeper understanding of the student’s thought processes in the definition and clear ties to the week’s content.</w:t>
            </w:r>
            <w:r w:rsidRPr="00C65AF0">
              <w:rPr>
                <w:rFonts w:ascii="OpenSans" w:hAnsi="OpenSans"/>
                <w:sz w:val="22"/>
                <w:szCs w:val="21"/>
              </w:rPr>
              <w:t xml:space="preserve"> </w:t>
            </w:r>
          </w:p>
        </w:tc>
        <w:tc>
          <w:tcPr>
            <w:tcW w:w="1870" w:type="dxa"/>
          </w:tcPr>
          <w:p w14:paraId="047B4179" w14:textId="69DA30A9" w:rsidR="00FF352A" w:rsidRPr="00C65AF0" w:rsidRDefault="00574A24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 xml:space="preserve">The paragraph is slightly disorganized and is </w:t>
            </w:r>
            <w:r w:rsidR="005B62E9">
              <w:rPr>
                <w:rFonts w:ascii="OpenSans" w:hAnsi="OpenSans"/>
                <w:sz w:val="22"/>
                <w:szCs w:val="21"/>
              </w:rPr>
              <w:t>loosely connected</w:t>
            </w:r>
            <w:r>
              <w:rPr>
                <w:rFonts w:ascii="OpenSans" w:hAnsi="OpenSans"/>
                <w:sz w:val="22"/>
                <w:szCs w:val="21"/>
              </w:rPr>
              <w:t xml:space="preserve"> to the definition and to the week’s course materials.</w:t>
            </w:r>
          </w:p>
        </w:tc>
        <w:tc>
          <w:tcPr>
            <w:tcW w:w="1870" w:type="dxa"/>
          </w:tcPr>
          <w:p w14:paraId="078B5FB4" w14:textId="7A107429" w:rsidR="00FF352A" w:rsidRPr="00C65AF0" w:rsidRDefault="00574A24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The paragraph is difficult to decipher and appears to have little or no connection to the definition or to the content presented in the week’s lesson.</w:t>
            </w:r>
            <w:r w:rsidR="00FF352A" w:rsidRPr="00C65AF0">
              <w:rPr>
                <w:rFonts w:ascii="OpenSans" w:hAnsi="OpenSans"/>
                <w:sz w:val="22"/>
                <w:szCs w:val="21"/>
              </w:rPr>
              <w:t xml:space="preserve"> </w:t>
            </w:r>
          </w:p>
        </w:tc>
      </w:tr>
      <w:tr w:rsidR="00FF352A" w14:paraId="31E1F2BD" w14:textId="77777777" w:rsidTr="00C65AF0">
        <w:tc>
          <w:tcPr>
            <w:tcW w:w="1870" w:type="dxa"/>
          </w:tcPr>
          <w:p w14:paraId="1CF63E92" w14:textId="77777777" w:rsidR="005B62E9" w:rsidRDefault="00FF352A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Presentation </w:t>
            </w:r>
          </w:p>
          <w:p w14:paraId="5E13E38A" w14:textId="2DBF3F90" w:rsidR="00FF352A" w:rsidRDefault="00FF352A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(10</w:t>
            </w:r>
            <w:r w:rsidR="005B62E9">
              <w:rPr>
                <w:b/>
                <w:bCs/>
                <w:lang w:val="en-US"/>
              </w:rPr>
              <w:t xml:space="preserve"> points</w:t>
            </w:r>
            <w:r>
              <w:rPr>
                <w:b/>
                <w:bCs/>
                <w:lang w:val="en-US"/>
              </w:rPr>
              <w:t>)</w:t>
            </w:r>
          </w:p>
          <w:p w14:paraId="10DAF05D" w14:textId="3C0D00B2" w:rsidR="00FF352A" w:rsidRPr="00C65AF0" w:rsidRDefault="00FF352A" w:rsidP="00C65A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Communication Value</w:t>
            </w:r>
          </w:p>
        </w:tc>
        <w:tc>
          <w:tcPr>
            <w:tcW w:w="1870" w:type="dxa"/>
          </w:tcPr>
          <w:p w14:paraId="3A43DD14" w14:textId="06F533DD" w:rsidR="00FF352A" w:rsidRPr="00C65AF0" w:rsidRDefault="00574A24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Creative, interesting, and engaging presentation.</w:t>
            </w:r>
            <w:r w:rsidR="00FF352A" w:rsidRPr="00C65AF0">
              <w:rPr>
                <w:rFonts w:ascii="OpenSans" w:hAnsi="OpenSans"/>
                <w:sz w:val="22"/>
                <w:szCs w:val="21"/>
              </w:rPr>
              <w:t xml:space="preserve"> </w:t>
            </w:r>
          </w:p>
        </w:tc>
        <w:tc>
          <w:tcPr>
            <w:tcW w:w="1870" w:type="dxa"/>
          </w:tcPr>
          <w:p w14:paraId="58851212" w14:textId="2D9A0079" w:rsidR="00FF352A" w:rsidRPr="00C65AF0" w:rsidRDefault="00FF352A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Presented the information clearly. </w:t>
            </w:r>
          </w:p>
        </w:tc>
        <w:tc>
          <w:tcPr>
            <w:tcW w:w="1870" w:type="dxa"/>
          </w:tcPr>
          <w:p w14:paraId="04131329" w14:textId="0A7C821E" w:rsidR="00FF352A" w:rsidRPr="00C65AF0" w:rsidRDefault="00FF352A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Presentation required some work to understand. </w:t>
            </w:r>
          </w:p>
        </w:tc>
        <w:tc>
          <w:tcPr>
            <w:tcW w:w="1870" w:type="dxa"/>
          </w:tcPr>
          <w:p w14:paraId="6AD2BE78" w14:textId="4C7258F4" w:rsidR="00FF352A" w:rsidRPr="00C65AF0" w:rsidRDefault="00FF352A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>Presentation was di</w:t>
            </w:r>
            <w:r w:rsidR="00574A24">
              <w:rPr>
                <w:rFonts w:ascii="OpenSans" w:hAnsi="OpenSans"/>
                <w:sz w:val="22"/>
                <w:szCs w:val="21"/>
              </w:rPr>
              <w:t>ffi</w:t>
            </w:r>
            <w:r w:rsidRPr="00C65AF0">
              <w:rPr>
                <w:rFonts w:ascii="OpenSans" w:hAnsi="OpenSans"/>
                <w:sz w:val="22"/>
                <w:szCs w:val="21"/>
              </w:rPr>
              <w:t xml:space="preserve">cult to follow. </w:t>
            </w:r>
          </w:p>
        </w:tc>
      </w:tr>
      <w:tr w:rsidR="00FF352A" w14:paraId="18D89BF0" w14:textId="77777777" w:rsidTr="00C65AF0">
        <w:tc>
          <w:tcPr>
            <w:tcW w:w="1870" w:type="dxa"/>
          </w:tcPr>
          <w:p w14:paraId="3C73391B" w14:textId="77777777" w:rsidR="00FF352A" w:rsidRDefault="00FF352A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Quality </w:t>
            </w:r>
          </w:p>
          <w:p w14:paraId="2B62A6A3" w14:textId="4EFFF7F6" w:rsidR="00FF352A" w:rsidRDefault="00FF352A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(10</w:t>
            </w:r>
            <w:r w:rsidR="005B62E9">
              <w:rPr>
                <w:b/>
                <w:bCs/>
                <w:lang w:val="en-US"/>
              </w:rPr>
              <w:t xml:space="preserve"> points</w:t>
            </w:r>
            <w:r>
              <w:rPr>
                <w:b/>
                <w:bCs/>
                <w:lang w:val="en-US"/>
              </w:rPr>
              <w:t>)</w:t>
            </w:r>
          </w:p>
          <w:p w14:paraId="4429FAED" w14:textId="029F8F4A" w:rsidR="00FF352A" w:rsidRPr="00C65AF0" w:rsidRDefault="00FF352A" w:rsidP="00C65A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Quality of Writing</w:t>
            </w:r>
          </w:p>
        </w:tc>
        <w:tc>
          <w:tcPr>
            <w:tcW w:w="1870" w:type="dxa"/>
          </w:tcPr>
          <w:p w14:paraId="198C2DC4" w14:textId="0670114B" w:rsidR="00FF352A" w:rsidRPr="00C65AF0" w:rsidRDefault="00FF352A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Free of grammatical, spelling or punctuation errors. The style of writing facilitates communication. </w:t>
            </w:r>
          </w:p>
        </w:tc>
        <w:tc>
          <w:tcPr>
            <w:tcW w:w="1870" w:type="dxa"/>
          </w:tcPr>
          <w:p w14:paraId="31C47F9C" w14:textId="77675202" w:rsidR="00FF352A" w:rsidRPr="00C65AF0" w:rsidRDefault="00FF352A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Largely free of grammatical, spelling or punctuation errors. The style of writing generally facilitates communication. </w:t>
            </w:r>
          </w:p>
        </w:tc>
        <w:tc>
          <w:tcPr>
            <w:tcW w:w="1870" w:type="dxa"/>
          </w:tcPr>
          <w:p w14:paraId="5A60617B" w14:textId="1E1058F9" w:rsidR="00FF352A" w:rsidRPr="00C65AF0" w:rsidRDefault="00FF352A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Some grammatical, spelling or punctuation errors that distract the reader. </w:t>
            </w:r>
          </w:p>
        </w:tc>
        <w:tc>
          <w:tcPr>
            <w:tcW w:w="1870" w:type="dxa"/>
          </w:tcPr>
          <w:p w14:paraId="3E889568" w14:textId="3CBA7013" w:rsidR="00FF352A" w:rsidRPr="00C65AF0" w:rsidRDefault="00FF352A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>Numerous grammatical, spelling or punctuation errors. The style of writing doesn't facilitate e</w:t>
            </w:r>
            <w:r w:rsidRPr="00C65AF0">
              <w:rPr>
                <w:rFonts w:ascii="OpenSans" w:hAnsi="OpenSans"/>
                <w:sz w:val="22"/>
                <w:szCs w:val="21"/>
              </w:rPr>
              <w:pgNum/>
            </w:r>
            <w:proofErr w:type="spellStart"/>
            <w:r w:rsidRPr="00C65AF0">
              <w:rPr>
                <w:rFonts w:ascii="OpenSans" w:hAnsi="OpenSans"/>
                <w:sz w:val="22"/>
                <w:szCs w:val="21"/>
              </w:rPr>
              <w:t>ffective</w:t>
            </w:r>
            <w:proofErr w:type="spellEnd"/>
            <w:r w:rsidRPr="00C65AF0">
              <w:rPr>
                <w:rFonts w:ascii="OpenSans" w:hAnsi="OpenSans"/>
                <w:sz w:val="22"/>
                <w:szCs w:val="21"/>
              </w:rPr>
              <w:t xml:space="preserve"> communication. </w:t>
            </w:r>
          </w:p>
        </w:tc>
      </w:tr>
      <w:tr w:rsidR="00FF352A" w14:paraId="7E52AF18" w14:textId="77777777" w:rsidTr="00C65AF0">
        <w:tc>
          <w:tcPr>
            <w:tcW w:w="1870" w:type="dxa"/>
          </w:tcPr>
          <w:p w14:paraId="48E301E8" w14:textId="4AD80F42" w:rsidR="00FF352A" w:rsidRPr="00C65AF0" w:rsidRDefault="00FF352A" w:rsidP="00C65AF0">
            <w:pPr>
              <w:jc w:val="center"/>
              <w:rPr>
                <w:lang w:val="en-US"/>
              </w:rPr>
            </w:pPr>
          </w:p>
        </w:tc>
        <w:tc>
          <w:tcPr>
            <w:tcW w:w="1870" w:type="dxa"/>
          </w:tcPr>
          <w:p w14:paraId="47CCF234" w14:textId="6A61F3EF" w:rsidR="00FF352A" w:rsidRPr="00C65AF0" w:rsidRDefault="00FF352A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</w:p>
        </w:tc>
        <w:tc>
          <w:tcPr>
            <w:tcW w:w="1870" w:type="dxa"/>
          </w:tcPr>
          <w:p w14:paraId="1C749553" w14:textId="55A30775" w:rsidR="00FF352A" w:rsidRPr="00C65AF0" w:rsidRDefault="00FF352A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</w:p>
        </w:tc>
        <w:tc>
          <w:tcPr>
            <w:tcW w:w="1870" w:type="dxa"/>
          </w:tcPr>
          <w:p w14:paraId="3F91623A" w14:textId="7515852D" w:rsidR="00FF352A" w:rsidRPr="00C65AF0" w:rsidRDefault="00FF352A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</w:p>
        </w:tc>
        <w:tc>
          <w:tcPr>
            <w:tcW w:w="1870" w:type="dxa"/>
          </w:tcPr>
          <w:p w14:paraId="47721314" w14:textId="72AD1542" w:rsidR="00FF352A" w:rsidRPr="00C65AF0" w:rsidRDefault="00FF352A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</w:p>
        </w:tc>
      </w:tr>
    </w:tbl>
    <w:p w14:paraId="71CA6D18" w14:textId="77777777" w:rsidR="00C65AF0" w:rsidRPr="00C65AF0" w:rsidRDefault="00C65AF0" w:rsidP="00422819">
      <w:pPr>
        <w:rPr>
          <w:b/>
          <w:bCs/>
          <w:lang w:val="en-US"/>
        </w:rPr>
      </w:pPr>
    </w:p>
    <w:sectPr w:rsidR="00C65AF0" w:rsidRPr="00C65AF0" w:rsidSect="00F31E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ans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264CB3"/>
    <w:multiLevelType w:val="hybridMultilevel"/>
    <w:tmpl w:val="8CD8E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F0"/>
    <w:rsid w:val="00422819"/>
    <w:rsid w:val="00574A24"/>
    <w:rsid w:val="005B62E9"/>
    <w:rsid w:val="005C278B"/>
    <w:rsid w:val="008311CD"/>
    <w:rsid w:val="00A662EC"/>
    <w:rsid w:val="00C65AF0"/>
    <w:rsid w:val="00F31EA4"/>
    <w:rsid w:val="00FF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CA19BA"/>
  <w15:chartTrackingRefBased/>
  <w15:docId w15:val="{CDDE688C-9FC3-6948-B69B-65E1CCD50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5A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5AF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7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74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22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6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2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8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8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14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99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7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2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5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9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02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5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9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9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6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52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48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6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5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98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3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8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2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28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5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7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4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9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26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87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4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4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3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6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7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1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2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89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6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32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6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0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47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85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7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7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5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7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4</cp:revision>
  <dcterms:created xsi:type="dcterms:W3CDTF">2020-08-04T11:29:00Z</dcterms:created>
  <dcterms:modified xsi:type="dcterms:W3CDTF">2020-08-24T21:20:00Z</dcterms:modified>
</cp:coreProperties>
</file>