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17A80" w14:textId="59EEF600" w:rsidR="00552C90" w:rsidRDefault="00552C90" w:rsidP="00552C90">
      <w:pPr>
        <w:pStyle w:val="Heading1"/>
        <w:ind w:left="0" w:firstLine="0"/>
        <w:jc w:val="center"/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</w:pPr>
      <w:r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  <w:t>The Big Picture: The Story Behind the Text</w:t>
      </w:r>
    </w:p>
    <w:p w14:paraId="3F604D45" w14:textId="77777777" w:rsidR="00552C90" w:rsidRPr="00552C90" w:rsidRDefault="00552C90" w:rsidP="00552C90">
      <w:pPr>
        <w:rPr>
          <w:lang w:val="en-US"/>
        </w:rPr>
      </w:pPr>
    </w:p>
    <w:p w14:paraId="67D72E7A" w14:textId="1B710C4C" w:rsidR="00552C90" w:rsidRPr="00D819D3" w:rsidRDefault="00552C90" w:rsidP="00552C90">
      <w:pPr>
        <w:pStyle w:val="Heading1"/>
        <w:ind w:left="0" w:firstLine="0"/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</w:pPr>
      <w:r w:rsidRPr="00D819D3"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  <w:t>Four Phases of Studying the Text</w:t>
      </w:r>
    </w:p>
    <w:p w14:paraId="451EEECA" w14:textId="77777777" w:rsidR="00552C90" w:rsidRPr="00D819D3" w:rsidRDefault="00552C90" w:rsidP="00552C90">
      <w:pPr>
        <w:pStyle w:val="Heading2"/>
        <w:numPr>
          <w:ilvl w:val="0"/>
          <w:numId w:val="1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Get the Big Picture</w:t>
      </w:r>
    </w:p>
    <w:p w14:paraId="4EBB8782" w14:textId="77777777" w:rsidR="00552C90" w:rsidRPr="00D819D3" w:rsidRDefault="00552C90" w:rsidP="00552C90">
      <w:pPr>
        <w:pStyle w:val="Heading2"/>
        <w:numPr>
          <w:ilvl w:val="0"/>
          <w:numId w:val="1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Examine the Text</w:t>
      </w:r>
    </w:p>
    <w:p w14:paraId="0B4A750D" w14:textId="77777777" w:rsidR="00552C90" w:rsidRPr="00D819D3" w:rsidRDefault="00552C90" w:rsidP="00552C90">
      <w:pPr>
        <w:pStyle w:val="Heading2"/>
        <w:numPr>
          <w:ilvl w:val="0"/>
          <w:numId w:val="1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Verify and Amplify</w:t>
      </w:r>
    </w:p>
    <w:p w14:paraId="427919A3" w14:textId="77777777" w:rsidR="00552C90" w:rsidRPr="00D819D3" w:rsidRDefault="00552C90" w:rsidP="00552C90">
      <w:pPr>
        <w:pStyle w:val="Heading2"/>
        <w:numPr>
          <w:ilvl w:val="0"/>
          <w:numId w:val="1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Exegetical Conclusions (What the Text Meant)</w:t>
      </w:r>
    </w:p>
    <w:p w14:paraId="3AD9589C" w14:textId="77777777" w:rsidR="00552C90" w:rsidRDefault="00552C90" w:rsidP="00552C90">
      <w:pPr>
        <w:pStyle w:val="Heading1"/>
        <w:ind w:left="0" w:firstLine="0"/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</w:pPr>
    </w:p>
    <w:p w14:paraId="3F291CB5" w14:textId="77777777" w:rsidR="00552C90" w:rsidRPr="00D819D3" w:rsidRDefault="00552C90" w:rsidP="00552C90">
      <w:pPr>
        <w:pStyle w:val="Heading1"/>
        <w:ind w:left="0" w:firstLine="0"/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</w:pPr>
      <w:r w:rsidRPr="00D819D3"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  <w:t>Why Context Matters</w:t>
      </w:r>
    </w:p>
    <w:p w14:paraId="273F22E6" w14:textId="77777777" w:rsidR="00552C90" w:rsidRPr="00D819D3" w:rsidRDefault="00552C90" w:rsidP="00552C90">
      <w:pPr>
        <w:pStyle w:val="Heading2"/>
        <w:numPr>
          <w:ilvl w:val="0"/>
          <w:numId w:val="2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Context points to the Big Idea.</w:t>
      </w:r>
    </w:p>
    <w:p w14:paraId="3C2A8E8C" w14:textId="77777777" w:rsidR="00552C90" w:rsidRPr="00D819D3" w:rsidRDefault="00552C90" w:rsidP="00552C90">
      <w:pPr>
        <w:pStyle w:val="Heading2"/>
        <w:numPr>
          <w:ilvl w:val="0"/>
          <w:numId w:val="2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Without context, you can get lost in the details.</w:t>
      </w:r>
    </w:p>
    <w:p w14:paraId="47AB6527" w14:textId="77777777" w:rsidR="00552C90" w:rsidRPr="00D819D3" w:rsidRDefault="00552C90" w:rsidP="00552C90">
      <w:pPr>
        <w:pStyle w:val="Heading2"/>
        <w:numPr>
          <w:ilvl w:val="0"/>
          <w:numId w:val="2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Context helps you navigate forks in the road.</w:t>
      </w:r>
    </w:p>
    <w:p w14:paraId="15547046" w14:textId="77777777" w:rsidR="00552C90" w:rsidRPr="00D819D3" w:rsidRDefault="00552C90" w:rsidP="00552C90">
      <w:pPr>
        <w:pStyle w:val="Heading2"/>
        <w:numPr>
          <w:ilvl w:val="0"/>
          <w:numId w:val="2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Context gives your best direction for application.</w:t>
      </w:r>
    </w:p>
    <w:p w14:paraId="6363DE82" w14:textId="77777777" w:rsidR="00552C90" w:rsidRPr="00D819D3" w:rsidRDefault="00552C90" w:rsidP="00552C90">
      <w:pPr>
        <w:pStyle w:val="Heading2"/>
        <w:numPr>
          <w:ilvl w:val="0"/>
          <w:numId w:val="2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Knowing the context builds confidence as you study, prepare, and preach.</w:t>
      </w:r>
    </w:p>
    <w:p w14:paraId="095BFA18" w14:textId="77777777" w:rsidR="00552C90" w:rsidRDefault="00552C90" w:rsidP="00552C90">
      <w:pPr>
        <w:pStyle w:val="Heading1"/>
        <w:ind w:left="0" w:firstLine="0"/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</w:pPr>
    </w:p>
    <w:p w14:paraId="28962E88" w14:textId="77777777" w:rsidR="00552C90" w:rsidRPr="00D819D3" w:rsidRDefault="00552C90" w:rsidP="00552C90">
      <w:pPr>
        <w:pStyle w:val="Heading1"/>
        <w:ind w:left="0" w:firstLine="0"/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</w:pPr>
      <w:r w:rsidRPr="00D819D3"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  <w:t>The Story Behind the Text: Why Historical Context Matters</w:t>
      </w:r>
    </w:p>
    <w:p w14:paraId="2483D9A5" w14:textId="77777777" w:rsidR="00552C90" w:rsidRPr="00D819D3" w:rsidRDefault="00552C90" w:rsidP="00552C90">
      <w:pPr>
        <w:pStyle w:val="Heading2"/>
        <w:numPr>
          <w:ilvl w:val="0"/>
          <w:numId w:val="3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Understanding</w:t>
      </w:r>
    </w:p>
    <w:p w14:paraId="7141584B" w14:textId="77777777" w:rsidR="00552C90" w:rsidRPr="00D819D3" w:rsidRDefault="00552C90" w:rsidP="00552C90">
      <w:pPr>
        <w:pStyle w:val="Heading2"/>
        <w:numPr>
          <w:ilvl w:val="0"/>
          <w:numId w:val="3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Impact</w:t>
      </w:r>
    </w:p>
    <w:p w14:paraId="72E52EC7" w14:textId="77777777" w:rsidR="00552C90" w:rsidRPr="00D819D3" w:rsidRDefault="00552C90" w:rsidP="00552C90">
      <w:pPr>
        <w:pStyle w:val="Heading2"/>
        <w:numPr>
          <w:ilvl w:val="0"/>
          <w:numId w:val="3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Meaning</w:t>
      </w:r>
    </w:p>
    <w:p w14:paraId="5D407A1C" w14:textId="77777777" w:rsidR="00552C90" w:rsidRDefault="00552C90" w:rsidP="00552C90">
      <w:pPr>
        <w:pStyle w:val="Heading1"/>
        <w:ind w:left="0" w:firstLine="0"/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</w:pPr>
    </w:p>
    <w:p w14:paraId="0D995AB8" w14:textId="77777777" w:rsidR="00552C90" w:rsidRPr="00D819D3" w:rsidRDefault="00552C90" w:rsidP="00552C90">
      <w:pPr>
        <w:pStyle w:val="Heading1"/>
        <w:ind w:left="0" w:firstLine="0"/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</w:pPr>
      <w:r w:rsidRPr="00D819D3"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  <w:t>Principles for Approaching Historical Context</w:t>
      </w:r>
    </w:p>
    <w:p w14:paraId="4F39F074" w14:textId="77777777" w:rsidR="00552C90" w:rsidRPr="00D819D3" w:rsidRDefault="00552C90" w:rsidP="00552C90">
      <w:pPr>
        <w:pStyle w:val="Heading2"/>
        <w:numPr>
          <w:ilvl w:val="0"/>
          <w:numId w:val="4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i/>
          <w:iCs/>
          <w:color w:val="000000" w:themeColor="text1"/>
          <w:lang w:val="en-US"/>
        </w:rPr>
        <w:t>Understand</w:t>
      </w:r>
      <w:r w:rsidRPr="00D819D3">
        <w:rPr>
          <w:rFonts w:ascii="Century Gothic" w:hAnsi="Century Gothic" w:cs="Century Gothic"/>
          <w:color w:val="000000" w:themeColor="text1"/>
          <w:lang w:val="en-US"/>
        </w:rPr>
        <w:t xml:space="preserve"> how the setting is like/different from ours.</w:t>
      </w:r>
    </w:p>
    <w:p w14:paraId="7CCA6109" w14:textId="77777777" w:rsidR="00552C90" w:rsidRPr="00D819D3" w:rsidRDefault="00552C90" w:rsidP="00552C90">
      <w:pPr>
        <w:pStyle w:val="Heading2"/>
        <w:numPr>
          <w:ilvl w:val="0"/>
          <w:numId w:val="4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 xml:space="preserve">Look for the </w:t>
      </w:r>
      <w:r w:rsidRPr="00D819D3">
        <w:rPr>
          <w:rFonts w:ascii="Century Gothic" w:hAnsi="Century Gothic" w:cs="Century Gothic"/>
          <w:i/>
          <w:iCs/>
          <w:color w:val="000000" w:themeColor="text1"/>
          <w:lang w:val="en-US"/>
        </w:rPr>
        <w:t>impact</w:t>
      </w:r>
      <w:r w:rsidRPr="00D819D3">
        <w:rPr>
          <w:rFonts w:ascii="Century Gothic" w:hAnsi="Century Gothic" w:cs="Century Gothic"/>
          <w:color w:val="000000" w:themeColor="text1"/>
          <w:lang w:val="en-US"/>
        </w:rPr>
        <w:t xml:space="preserve"> of the text in the historical setting.</w:t>
      </w:r>
    </w:p>
    <w:p w14:paraId="7AF9A0BC" w14:textId="77777777" w:rsidR="00552C90" w:rsidRPr="00D819D3" w:rsidRDefault="00552C90" w:rsidP="00552C90">
      <w:pPr>
        <w:pStyle w:val="Heading2"/>
        <w:numPr>
          <w:ilvl w:val="0"/>
          <w:numId w:val="4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 xml:space="preserve">Communicate the </w:t>
      </w:r>
      <w:r w:rsidRPr="00D819D3">
        <w:rPr>
          <w:rFonts w:ascii="Century Gothic" w:hAnsi="Century Gothic" w:cs="Century Gothic"/>
          <w:i/>
          <w:iCs/>
          <w:color w:val="000000" w:themeColor="text1"/>
          <w:lang w:val="en-US"/>
        </w:rPr>
        <w:t>meaning</w:t>
      </w:r>
      <w:r w:rsidRPr="00D819D3">
        <w:rPr>
          <w:rFonts w:ascii="Century Gothic" w:hAnsi="Century Gothic" w:cs="Century Gothic"/>
          <w:color w:val="000000" w:themeColor="text1"/>
          <w:lang w:val="en-US"/>
        </w:rPr>
        <w:t xml:space="preserve"> of the biblical text.  The message is not the culture; it’s what Bible says to the culture.</w:t>
      </w:r>
    </w:p>
    <w:p w14:paraId="55983FE9" w14:textId="77777777" w:rsidR="00552C90" w:rsidRDefault="00552C90" w:rsidP="00552C90">
      <w:pPr>
        <w:pStyle w:val="Heading1"/>
        <w:ind w:left="0" w:firstLine="0"/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</w:pPr>
    </w:p>
    <w:p w14:paraId="4CD8B1F9" w14:textId="77777777" w:rsidR="00552C90" w:rsidRPr="00D819D3" w:rsidRDefault="00552C90" w:rsidP="00552C90">
      <w:pPr>
        <w:pStyle w:val="Heading1"/>
        <w:ind w:left="0" w:firstLine="0"/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</w:pPr>
      <w:r w:rsidRPr="00D819D3"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  <w:t>Organizing Your Study of the Historical Context</w:t>
      </w:r>
    </w:p>
    <w:p w14:paraId="30307F9D" w14:textId="77777777" w:rsidR="00552C90" w:rsidRPr="00D819D3" w:rsidRDefault="00552C90" w:rsidP="00552C90">
      <w:pPr>
        <w:pStyle w:val="Heading2"/>
        <w:numPr>
          <w:ilvl w:val="0"/>
          <w:numId w:val="5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Author: Who wrote it?</w:t>
      </w:r>
    </w:p>
    <w:p w14:paraId="4F9C81ED" w14:textId="77777777" w:rsidR="00552C90" w:rsidRPr="00D819D3" w:rsidRDefault="00552C90" w:rsidP="00552C90">
      <w:pPr>
        <w:pStyle w:val="Heading2"/>
        <w:numPr>
          <w:ilvl w:val="0"/>
          <w:numId w:val="5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Recipients: Who read it?</w:t>
      </w:r>
    </w:p>
    <w:p w14:paraId="42313D69" w14:textId="77777777" w:rsidR="00552C90" w:rsidRPr="00D819D3" w:rsidRDefault="00552C90" w:rsidP="00552C90">
      <w:pPr>
        <w:pStyle w:val="Heading2"/>
        <w:numPr>
          <w:ilvl w:val="0"/>
          <w:numId w:val="5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Occasion: What provoked it?</w:t>
      </w:r>
    </w:p>
    <w:p w14:paraId="760DB697" w14:textId="77777777" w:rsidR="00552C90" w:rsidRPr="00D819D3" w:rsidRDefault="00552C90" w:rsidP="00552C90">
      <w:pPr>
        <w:pStyle w:val="Heading2"/>
        <w:numPr>
          <w:ilvl w:val="0"/>
          <w:numId w:val="5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Culture: What nuances colored it?</w:t>
      </w:r>
    </w:p>
    <w:p w14:paraId="0722A9B5" w14:textId="77777777" w:rsidR="00552C90" w:rsidRDefault="00552C90" w:rsidP="00552C90">
      <w:pPr>
        <w:pStyle w:val="Heading1"/>
        <w:ind w:left="0" w:firstLine="0"/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</w:pPr>
    </w:p>
    <w:p w14:paraId="57D53921" w14:textId="77777777" w:rsidR="00552C90" w:rsidRPr="00D819D3" w:rsidRDefault="00552C90" w:rsidP="00552C90">
      <w:pPr>
        <w:pStyle w:val="Heading1"/>
        <w:ind w:left="0" w:firstLine="0"/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</w:pPr>
      <w:r w:rsidRPr="00D819D3">
        <w:rPr>
          <w:rFonts w:ascii="Century Gothic" w:hAnsi="Century Gothic" w:cs="Century Gothic"/>
          <w:b/>
          <w:bCs/>
          <w:color w:val="000000" w:themeColor="text1"/>
          <w:sz w:val="24"/>
          <w:szCs w:val="24"/>
          <w:lang w:val="en-US"/>
        </w:rPr>
        <w:t>Sources: Where do you find the “story behind the text?”</w:t>
      </w:r>
    </w:p>
    <w:p w14:paraId="29FD7F8E" w14:textId="77777777" w:rsidR="00552C90" w:rsidRPr="00D819D3" w:rsidRDefault="00552C90" w:rsidP="00552C90">
      <w:pPr>
        <w:pStyle w:val="Heading2"/>
        <w:numPr>
          <w:ilvl w:val="0"/>
          <w:numId w:val="6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Study Bible Introductions</w:t>
      </w:r>
    </w:p>
    <w:p w14:paraId="7D1338E2" w14:textId="77777777" w:rsidR="00552C90" w:rsidRPr="00D819D3" w:rsidRDefault="00552C90" w:rsidP="00552C90">
      <w:pPr>
        <w:pStyle w:val="Heading2"/>
        <w:numPr>
          <w:ilvl w:val="0"/>
          <w:numId w:val="6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Bible Dictionaries and Encyclopedias</w:t>
      </w:r>
    </w:p>
    <w:p w14:paraId="657A2F2F" w14:textId="77777777" w:rsidR="00552C90" w:rsidRPr="00D819D3" w:rsidRDefault="00552C90" w:rsidP="00552C90">
      <w:pPr>
        <w:pStyle w:val="Heading2"/>
        <w:numPr>
          <w:ilvl w:val="0"/>
          <w:numId w:val="6"/>
        </w:numPr>
        <w:rPr>
          <w:rFonts w:ascii="Century Gothic" w:hAnsi="Century Gothic" w:cs="Century Gothic"/>
          <w:color w:val="000000" w:themeColor="text1"/>
          <w:lang w:val="en-US"/>
        </w:rPr>
      </w:pPr>
      <w:r w:rsidRPr="00D819D3">
        <w:rPr>
          <w:rFonts w:ascii="Century Gothic" w:hAnsi="Century Gothic" w:cs="Century Gothic"/>
          <w:color w:val="000000" w:themeColor="text1"/>
          <w:lang w:val="en-US"/>
        </w:rPr>
        <w:t>Commentary Introductions</w:t>
      </w:r>
    </w:p>
    <w:p w14:paraId="59A9F19A" w14:textId="77777777" w:rsidR="00F31AF3" w:rsidRDefault="00F31AF3"/>
    <w:sectPr w:rsidR="00F31AF3" w:rsidSect="00F31E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93B64"/>
    <w:multiLevelType w:val="hybridMultilevel"/>
    <w:tmpl w:val="3D348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D2DFF"/>
    <w:multiLevelType w:val="hybridMultilevel"/>
    <w:tmpl w:val="7BDC1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E28F5"/>
    <w:multiLevelType w:val="hybridMultilevel"/>
    <w:tmpl w:val="D3FE6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870C37"/>
    <w:multiLevelType w:val="hybridMultilevel"/>
    <w:tmpl w:val="82ECF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94558E"/>
    <w:multiLevelType w:val="hybridMultilevel"/>
    <w:tmpl w:val="F320C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F0B8A"/>
    <w:multiLevelType w:val="hybridMultilevel"/>
    <w:tmpl w:val="9FF27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90"/>
    <w:rsid w:val="00552C90"/>
    <w:rsid w:val="00F31AF3"/>
    <w:rsid w:val="00F3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B5EEB7"/>
  <w15:chartTrackingRefBased/>
  <w15:docId w15:val="{A96B02CD-F62D-8848-8408-34E6019D2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2C90"/>
    <w:pPr>
      <w:widowControl w:val="0"/>
      <w:autoSpaceDE w:val="0"/>
      <w:autoSpaceDN w:val="0"/>
      <w:adjustRightInd w:val="0"/>
      <w:ind w:left="540" w:hanging="540"/>
      <w:outlineLvl w:val="0"/>
    </w:pPr>
    <w:rPr>
      <w:rFonts w:ascii="Times New Roman" w:eastAsiaTheme="minorEastAsia" w:hAnsi="Times New Roman" w:cs="Times New Roman"/>
      <w:kern w:val="24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52C90"/>
    <w:pPr>
      <w:widowControl w:val="0"/>
      <w:autoSpaceDE w:val="0"/>
      <w:autoSpaceDN w:val="0"/>
      <w:adjustRightInd w:val="0"/>
      <w:ind w:left="1170" w:hanging="450"/>
      <w:outlineLvl w:val="1"/>
    </w:pPr>
    <w:rPr>
      <w:rFonts w:ascii="Times New Roman" w:eastAsiaTheme="minorEastAsia" w:hAnsi="Times New Roman" w:cs="Times New Roman"/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2C90"/>
    <w:rPr>
      <w:rFonts w:ascii="Times New Roman" w:eastAsiaTheme="minorEastAsia" w:hAnsi="Times New Roman" w:cs="Times New Roman"/>
      <w:kern w:val="24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552C90"/>
    <w:rPr>
      <w:rFonts w:ascii="Times New Roman" w:eastAsiaTheme="minorEastAsia" w:hAnsi="Times New Roman" w:cs="Times New Roman"/>
      <w:kern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1</cp:revision>
  <dcterms:created xsi:type="dcterms:W3CDTF">2020-07-20T19:56:00Z</dcterms:created>
  <dcterms:modified xsi:type="dcterms:W3CDTF">2020-07-20T19:57:00Z</dcterms:modified>
</cp:coreProperties>
</file>