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5E81F" w14:textId="77777777" w:rsidR="00237BE0" w:rsidRDefault="00000000">
      <w:pPr>
        <w:pStyle w:val="Heading1"/>
        <w:tabs>
          <w:tab w:val="center" w:pos="5605"/>
        </w:tabs>
        <w:ind w:left="0" w:firstLine="0"/>
      </w:pPr>
      <w:r>
        <w:rPr>
          <w:vertAlign w:val="superscript"/>
        </w:rPr>
        <w:t xml:space="preserve"> </w:t>
      </w:r>
      <w:r>
        <w:rPr>
          <w:vertAlign w:val="superscript"/>
        </w:rPr>
        <w:tab/>
      </w:r>
      <w:r>
        <w:t xml:space="preserve">Covenant School of Nursing Reflective Practice </w:t>
      </w:r>
    </w:p>
    <w:p w14:paraId="525A3D32" w14:textId="45A99FE9" w:rsidR="00237BE0" w:rsidRDefault="00000000" w:rsidP="00062602">
      <w:pPr>
        <w:spacing w:after="59"/>
        <w:ind w:left="139" w:right="7502"/>
      </w:pPr>
      <w:r>
        <w:rPr>
          <w:noProof/>
        </w:rPr>
        <w:drawing>
          <wp:anchor distT="0" distB="0" distL="114300" distR="114300" simplePos="0" relativeHeight="251658240" behindDoc="0" locked="0" layoutInCell="1" allowOverlap="0" wp14:anchorId="21DE699E" wp14:editId="6C868C9E">
            <wp:simplePos x="0" y="0"/>
            <wp:positionH relativeFrom="column">
              <wp:posOffset>152400</wp:posOffset>
            </wp:positionH>
            <wp:positionV relativeFrom="paragraph">
              <wp:posOffset>-3427</wp:posOffset>
            </wp:positionV>
            <wp:extent cx="1950720" cy="1729740"/>
            <wp:effectExtent l="0" t="0" r="0" b="0"/>
            <wp:wrapSquare wrapText="bothSides"/>
            <wp:docPr id="455" name="Picture 455"/>
            <wp:cNvGraphicFramePr/>
            <a:graphic xmlns:a="http://schemas.openxmlformats.org/drawingml/2006/main">
              <a:graphicData uri="http://schemas.openxmlformats.org/drawingml/2006/picture">
                <pic:pic xmlns:pic="http://schemas.openxmlformats.org/drawingml/2006/picture">
                  <pic:nvPicPr>
                    <pic:cNvPr id="455" name="Picture 455"/>
                    <pic:cNvPicPr/>
                  </pic:nvPicPr>
                  <pic:blipFill>
                    <a:blip r:embed="rId5"/>
                    <a:stretch>
                      <a:fillRect/>
                    </a:stretch>
                  </pic:blipFill>
                  <pic:spPr>
                    <a:xfrm>
                      <a:off x="0" y="0"/>
                      <a:ext cx="1950720" cy="1729740"/>
                    </a:xfrm>
                    <a:prstGeom prst="rect">
                      <a:avLst/>
                    </a:prstGeom>
                  </pic:spPr>
                </pic:pic>
              </a:graphicData>
            </a:graphic>
          </wp:anchor>
        </w:drawing>
      </w:r>
    </w:p>
    <w:tbl>
      <w:tblPr>
        <w:tblStyle w:val="TableGrid"/>
        <w:tblW w:w="10687" w:type="dxa"/>
        <w:tblInd w:w="304" w:type="dxa"/>
        <w:tblCellMar>
          <w:top w:w="2" w:type="dxa"/>
          <w:left w:w="107" w:type="dxa"/>
          <w:bottom w:w="0" w:type="dxa"/>
          <w:right w:w="221" w:type="dxa"/>
        </w:tblCellMar>
        <w:tblLook w:val="04A0" w:firstRow="1" w:lastRow="0" w:firstColumn="1" w:lastColumn="0" w:noHBand="0" w:noVBand="1"/>
      </w:tblPr>
      <w:tblGrid>
        <w:gridCol w:w="5343"/>
        <w:gridCol w:w="5344"/>
      </w:tblGrid>
      <w:tr w:rsidR="00237BE0" w14:paraId="50506CB5" w14:textId="77777777">
        <w:trPr>
          <w:trHeight w:val="3562"/>
        </w:trPr>
        <w:tc>
          <w:tcPr>
            <w:tcW w:w="5343" w:type="dxa"/>
            <w:tcBorders>
              <w:top w:val="single" w:sz="7" w:space="0" w:color="000000"/>
              <w:left w:val="single" w:sz="7" w:space="0" w:color="000000"/>
              <w:bottom w:val="single" w:sz="7" w:space="0" w:color="000000"/>
              <w:right w:val="single" w:sz="7" w:space="0" w:color="000000"/>
            </w:tcBorders>
          </w:tcPr>
          <w:p w14:paraId="6AEA97EE" w14:textId="77777777" w:rsidR="00237BE0" w:rsidRDefault="00000000">
            <w:pPr>
              <w:spacing w:after="0"/>
              <w:ind w:left="7"/>
            </w:pPr>
            <w:r>
              <w:rPr>
                <w:rFonts w:ascii="Arial" w:eastAsia="Arial" w:hAnsi="Arial" w:cs="Arial"/>
                <w:b/>
                <w:sz w:val="20"/>
              </w:rPr>
              <w:t>Step 1 Description</w:t>
            </w:r>
            <w:r>
              <w:rPr>
                <w:rFonts w:ascii="Arial" w:eastAsia="Arial" w:hAnsi="Arial" w:cs="Arial"/>
                <w:sz w:val="20"/>
              </w:rPr>
              <w:t xml:space="preserve"> </w:t>
            </w:r>
          </w:p>
          <w:p w14:paraId="2714B83C" w14:textId="311908AC" w:rsidR="00237BE0" w:rsidRDefault="00062602" w:rsidP="00062602">
            <w:pPr>
              <w:spacing w:after="0"/>
            </w:pPr>
            <w:r>
              <w:t xml:space="preserve"> At this facility one side had 18 through 50-year-old patients and the other side was 50 and up. On the first day, I was able to observe one patient experiencing illusions of seeing shadows and hearing voices and feeling paranoid that everyone is talking about her. On the second day I observed a patient experiencing high anxiety and depression symptoms. Another was repeating a story about a dream he had and rumors he can’t get out of his mind that is driving him into suicidal thoughts. Each side has 16 beds and that was the max capacity. All patients were encouraged to get out of their rooms and hang out in the main living area. There were activities provided and therapy sessions at certain times. Everyone ate together and encouraged to participate in activities. </w:t>
            </w:r>
          </w:p>
        </w:tc>
        <w:tc>
          <w:tcPr>
            <w:tcW w:w="5343" w:type="dxa"/>
            <w:tcBorders>
              <w:top w:val="single" w:sz="7" w:space="0" w:color="000000"/>
              <w:left w:val="single" w:sz="7" w:space="0" w:color="000000"/>
              <w:bottom w:val="single" w:sz="7" w:space="0" w:color="000000"/>
              <w:right w:val="single" w:sz="7" w:space="0" w:color="000000"/>
            </w:tcBorders>
          </w:tcPr>
          <w:p w14:paraId="60EC98C8" w14:textId="77777777" w:rsidR="00237BE0" w:rsidRDefault="00000000">
            <w:pPr>
              <w:spacing w:after="6"/>
              <w:ind w:left="5"/>
            </w:pPr>
            <w:r>
              <w:rPr>
                <w:rFonts w:ascii="Arial" w:eastAsia="Arial" w:hAnsi="Arial" w:cs="Arial"/>
                <w:b/>
                <w:sz w:val="20"/>
              </w:rPr>
              <w:t>Step 4 Analysis</w:t>
            </w:r>
            <w:r>
              <w:rPr>
                <w:rFonts w:ascii="Arial" w:eastAsia="Arial" w:hAnsi="Arial" w:cs="Arial"/>
                <w:sz w:val="20"/>
              </w:rPr>
              <w:t xml:space="preserve"> </w:t>
            </w:r>
          </w:p>
          <w:p w14:paraId="625E2222" w14:textId="0540AE56" w:rsidR="00237BE0" w:rsidRDefault="00062602" w:rsidP="00062602">
            <w:pPr>
              <w:spacing w:after="0"/>
            </w:pPr>
            <w:r>
              <w:rPr>
                <w:rFonts w:ascii="Arial" w:eastAsia="Arial" w:hAnsi="Arial" w:cs="Arial"/>
                <w:sz w:val="20"/>
              </w:rPr>
              <w:t xml:space="preserve">It was helpful to take in action on how to properly communicate to a patient with using open-ended questions and offering leads and showing statements of acceptances phrases and avoiding any advice or opinions. It was hard at times because it easy to do without even thinking that you may be giving an advice or avoiding sharing anything about self to only focus the conversation on the patient. I was able to take some of the behavior assessment tools and put them into action with the nurse on observing how those interviews flowed. </w:t>
            </w:r>
          </w:p>
        </w:tc>
      </w:tr>
      <w:tr w:rsidR="00237BE0" w14:paraId="6C94531A" w14:textId="77777777">
        <w:trPr>
          <w:trHeight w:val="2784"/>
        </w:trPr>
        <w:tc>
          <w:tcPr>
            <w:tcW w:w="5343" w:type="dxa"/>
            <w:tcBorders>
              <w:top w:val="single" w:sz="7" w:space="0" w:color="000000"/>
              <w:left w:val="single" w:sz="7" w:space="0" w:color="000000"/>
              <w:bottom w:val="single" w:sz="7" w:space="0" w:color="000000"/>
              <w:right w:val="single" w:sz="7" w:space="0" w:color="000000"/>
            </w:tcBorders>
          </w:tcPr>
          <w:p w14:paraId="38674D59" w14:textId="77777777" w:rsidR="00237BE0" w:rsidRDefault="00000000">
            <w:pPr>
              <w:spacing w:after="0"/>
              <w:ind w:left="7"/>
            </w:pPr>
            <w:r>
              <w:rPr>
                <w:rFonts w:ascii="Arial" w:eastAsia="Arial" w:hAnsi="Arial" w:cs="Arial"/>
                <w:b/>
                <w:sz w:val="20"/>
              </w:rPr>
              <w:t>Step 2 Feelings</w:t>
            </w:r>
            <w:r>
              <w:rPr>
                <w:rFonts w:ascii="Arial" w:eastAsia="Arial" w:hAnsi="Arial" w:cs="Arial"/>
                <w:sz w:val="20"/>
              </w:rPr>
              <w:t xml:space="preserve"> </w:t>
            </w:r>
          </w:p>
          <w:p w14:paraId="42780184" w14:textId="72D25C8E" w:rsidR="00237BE0" w:rsidRDefault="00062602" w:rsidP="00062602">
            <w:pPr>
              <w:spacing w:after="0"/>
            </w:pPr>
            <w:r>
              <w:rPr>
                <w:rFonts w:ascii="Arial" w:eastAsia="Arial" w:hAnsi="Arial" w:cs="Arial"/>
                <w:sz w:val="20"/>
              </w:rPr>
              <w:t xml:space="preserve">I was nervous about going to this clinical rotation due to never being in a rehab center and not knowing if I would encounter something that would be uncomfortable with my own person PTSD. </w:t>
            </w:r>
            <w:r>
              <w:t>There was a situation on Day two that put me on the edge with fear when a patient was yelling and cursing out loud to have someone shut her door after it had been left open.</w:t>
            </w:r>
            <w:r>
              <w:t xml:space="preserve"> The patient came out charging at us with threats very violently.</w:t>
            </w:r>
            <w:r>
              <w:t xml:space="preserve"> </w:t>
            </w:r>
            <w:r>
              <w:rPr>
                <w:rFonts w:ascii="Arial" w:eastAsia="Arial" w:hAnsi="Arial" w:cs="Arial"/>
                <w:sz w:val="20"/>
              </w:rPr>
              <w:t xml:space="preserve">When sitting at the table with the patients it was hard to not say something to upset one or not know what reaction will occur. The personalities were strong and testing us to see why we were there. I really had to put into thought on the choices of words and topics to say out loud to not get negative feedback or anything uncomfortable. The staff in day 1 was not working well as a team by leaving one getting heat by the patients and the other two coworkers allowing it to happen by not redirecting the patients talking in that way. On day 2, I notice the team work on the workers was better and everything went more smoothly through the day. When sitting out there with the patients I was able to practice my communicating skills to try and bring in some comfort or listen to their story or what was in their mind at that moment. It was quite interesting seeing the different types of disorders and recognizing them before knowing </w:t>
            </w:r>
            <w:r>
              <w:rPr>
                <w:rFonts w:ascii="Arial" w:eastAsia="Arial" w:hAnsi="Arial" w:cs="Arial"/>
                <w:sz w:val="20"/>
              </w:rPr>
              <w:lastRenderedPageBreak/>
              <w:t xml:space="preserve">what they are diagnosed with by just the way they were acting or behaving or things they would share or say.  </w:t>
            </w:r>
          </w:p>
        </w:tc>
        <w:tc>
          <w:tcPr>
            <w:tcW w:w="5343" w:type="dxa"/>
            <w:tcBorders>
              <w:top w:val="single" w:sz="7" w:space="0" w:color="000000"/>
              <w:left w:val="single" w:sz="7" w:space="0" w:color="000000"/>
              <w:bottom w:val="single" w:sz="7" w:space="0" w:color="000000"/>
              <w:right w:val="single" w:sz="7" w:space="0" w:color="000000"/>
            </w:tcBorders>
          </w:tcPr>
          <w:p w14:paraId="10DF0EAE" w14:textId="77777777" w:rsidR="00237BE0" w:rsidRDefault="00000000">
            <w:pPr>
              <w:spacing w:after="6"/>
              <w:ind w:left="5"/>
            </w:pPr>
            <w:r>
              <w:rPr>
                <w:rFonts w:ascii="Arial" w:eastAsia="Arial" w:hAnsi="Arial" w:cs="Arial"/>
                <w:b/>
                <w:sz w:val="20"/>
              </w:rPr>
              <w:lastRenderedPageBreak/>
              <w:t>Step 5 Conclusion</w:t>
            </w:r>
            <w:r>
              <w:rPr>
                <w:rFonts w:ascii="Arial" w:eastAsia="Arial" w:hAnsi="Arial" w:cs="Arial"/>
                <w:sz w:val="20"/>
              </w:rPr>
              <w:t xml:space="preserve"> </w:t>
            </w:r>
          </w:p>
          <w:p w14:paraId="62F859A7" w14:textId="05AF1DAF" w:rsidR="00237BE0" w:rsidRDefault="00062602" w:rsidP="00062602">
            <w:pPr>
              <w:spacing w:after="0"/>
            </w:pPr>
            <w:r>
              <w:rPr>
                <w:rFonts w:ascii="Arial" w:eastAsia="Arial" w:hAnsi="Arial" w:cs="Arial"/>
                <w:sz w:val="20"/>
              </w:rPr>
              <w:t xml:space="preserve">There was a situation when a patient was very angry and acting very hostile and threating rushing out of her room next to me to yell at the worker that was seating down beside me and got into her face yelling with threats. The situation started with the door being left open and then the patient started yelling for the door to be shut but in an aggressive way with violent language. She continually yelled out nonstop for 5 minutes until she got up and rushed out of her room towards us. The nurse order us not to shut the door to allow the patient to ask properly or shut it herself. So, we ignored her yelling and obeyed, but that situation escalated quick. The patient was from a detention center and her aggressiveness towards others and the staff showed she was trying to intermediate everyone to obey her with fear. She had her hands behind her, and her body pushed out and face full on the tech into her face spitting at her as she was yelling with threats of hurting her. Another coworker came out of another room and grabbed her from behind and pulled her off from the coworker she was yelling too. It took about 6 nurses to get her back into her room and calm her down. The whole situation caused three other patients to feel worse and caused triggers on them to feel increased anxiety, fear, and PTSD. I feel the situation could have </w:t>
            </w:r>
            <w:proofErr w:type="gramStart"/>
            <w:r>
              <w:rPr>
                <w:rFonts w:ascii="Arial" w:eastAsia="Arial" w:hAnsi="Arial" w:cs="Arial"/>
                <w:sz w:val="20"/>
              </w:rPr>
              <w:t>went</w:t>
            </w:r>
            <w:proofErr w:type="gramEnd"/>
            <w:r>
              <w:rPr>
                <w:rFonts w:ascii="Arial" w:eastAsia="Arial" w:hAnsi="Arial" w:cs="Arial"/>
                <w:sz w:val="20"/>
              </w:rPr>
              <w:t xml:space="preserve"> different if we were able to just shut the door and but </w:t>
            </w:r>
            <w:r>
              <w:rPr>
                <w:rFonts w:ascii="Arial" w:eastAsia="Arial" w:hAnsi="Arial" w:cs="Arial"/>
                <w:sz w:val="20"/>
              </w:rPr>
              <w:lastRenderedPageBreak/>
              <w:t xml:space="preserve">also remind her that this is a place of healing and threats in the way she was yelling out was not something to be allowed to do. Not acting and ignoring her only made the situation 10 times worse and could have led to serious injuries to other patients or staff members. </w:t>
            </w:r>
          </w:p>
        </w:tc>
      </w:tr>
      <w:tr w:rsidR="00237BE0" w14:paraId="77059D50" w14:textId="77777777">
        <w:trPr>
          <w:trHeight w:val="4172"/>
        </w:trPr>
        <w:tc>
          <w:tcPr>
            <w:tcW w:w="5343" w:type="dxa"/>
            <w:tcBorders>
              <w:top w:val="single" w:sz="7" w:space="0" w:color="000000"/>
              <w:left w:val="single" w:sz="7" w:space="0" w:color="000000"/>
              <w:bottom w:val="single" w:sz="7" w:space="0" w:color="000000"/>
              <w:right w:val="single" w:sz="7" w:space="0" w:color="000000"/>
            </w:tcBorders>
          </w:tcPr>
          <w:p w14:paraId="1144FAD1" w14:textId="77777777" w:rsidR="00237BE0" w:rsidRDefault="00000000">
            <w:pPr>
              <w:spacing w:after="6"/>
              <w:ind w:left="7"/>
            </w:pPr>
            <w:r>
              <w:rPr>
                <w:rFonts w:ascii="Arial" w:eastAsia="Arial" w:hAnsi="Arial" w:cs="Arial"/>
                <w:b/>
                <w:sz w:val="20"/>
              </w:rPr>
              <w:lastRenderedPageBreak/>
              <w:t>Step 3 Evaluation</w:t>
            </w:r>
            <w:r>
              <w:rPr>
                <w:rFonts w:ascii="Arial" w:eastAsia="Arial" w:hAnsi="Arial" w:cs="Arial"/>
                <w:sz w:val="20"/>
              </w:rPr>
              <w:t xml:space="preserve"> </w:t>
            </w:r>
          </w:p>
          <w:p w14:paraId="387ACA26" w14:textId="46F34CD8" w:rsidR="00237BE0" w:rsidRDefault="00062602" w:rsidP="00062602">
            <w:pPr>
              <w:spacing w:after="0"/>
              <w:rPr>
                <w:rFonts w:ascii="Arial" w:eastAsia="Arial" w:hAnsi="Arial" w:cs="Arial"/>
                <w:sz w:val="20"/>
              </w:rPr>
            </w:pPr>
            <w:r>
              <w:rPr>
                <w:rFonts w:ascii="Arial" w:eastAsia="Arial" w:hAnsi="Arial" w:cs="Arial"/>
                <w:sz w:val="20"/>
              </w:rPr>
              <w:t xml:space="preserve">There were a few times some conversations with the patients were hard to know what to say when they would try to ask for advice or opinions on it. I would be very careful to avoid that and try to just let them continue to share or give more detail and what they are saying or how that makes them feel. It does take a lot of practice on really thinking what to say next to them. I had to be very observant to keep an eye out on anything that was left out that could be used to harm another or be very observant of each patient every 15 minutes. </w:t>
            </w:r>
          </w:p>
          <w:p w14:paraId="5BA619EF" w14:textId="0DF41074" w:rsidR="00062602" w:rsidRDefault="00062602" w:rsidP="00062602">
            <w:pPr>
              <w:spacing w:after="0"/>
            </w:pPr>
          </w:p>
        </w:tc>
        <w:tc>
          <w:tcPr>
            <w:tcW w:w="5343" w:type="dxa"/>
            <w:tcBorders>
              <w:top w:val="single" w:sz="7" w:space="0" w:color="000000"/>
              <w:left w:val="single" w:sz="7" w:space="0" w:color="000000"/>
              <w:bottom w:val="single" w:sz="7" w:space="0" w:color="000000"/>
              <w:right w:val="single" w:sz="7" w:space="0" w:color="000000"/>
            </w:tcBorders>
          </w:tcPr>
          <w:p w14:paraId="0E3DD8D8" w14:textId="77777777" w:rsidR="00237BE0" w:rsidRDefault="00000000">
            <w:pPr>
              <w:spacing w:after="6"/>
              <w:ind w:left="5"/>
            </w:pPr>
            <w:r>
              <w:rPr>
                <w:rFonts w:ascii="Arial" w:eastAsia="Arial" w:hAnsi="Arial" w:cs="Arial"/>
                <w:b/>
                <w:sz w:val="20"/>
              </w:rPr>
              <w:t>Step 6 Action Plan</w:t>
            </w:r>
            <w:r>
              <w:rPr>
                <w:rFonts w:ascii="Arial" w:eastAsia="Arial" w:hAnsi="Arial" w:cs="Arial"/>
                <w:sz w:val="20"/>
              </w:rPr>
              <w:t xml:space="preserve"> </w:t>
            </w:r>
          </w:p>
          <w:p w14:paraId="2D5A29E2" w14:textId="249BC8DC" w:rsidR="00237BE0" w:rsidRDefault="00062602" w:rsidP="00062602">
            <w:pPr>
              <w:spacing w:after="0"/>
            </w:pPr>
            <w:r>
              <w:rPr>
                <w:rFonts w:ascii="Arial" w:eastAsia="Arial" w:hAnsi="Arial" w:cs="Arial"/>
                <w:sz w:val="20"/>
              </w:rPr>
              <w:t xml:space="preserve">My overall experience was helpful on learning how to communicate with patients with certain disorders and how to get better when involved in uncomfortable conflicts. I was able to observe behavior assessments being done and took knowledge from them on how to strengthen mine in the future. I learned from a therapy session that a way to help calm anxiety is to try to pick a color and then find 10 items with that color. To draw focus away from the anxiety to be able to get control of our mind and body. The therapy sessions were very helpful on observing the reactions the patients would show on the positives and negatives. Sitting in to listen how the treatment crew worked with the patient on their goals and plans was beneficial as well.  </w:t>
            </w:r>
          </w:p>
        </w:tc>
      </w:tr>
    </w:tbl>
    <w:p w14:paraId="544CD042" w14:textId="2A126737" w:rsidR="00237BE0" w:rsidRDefault="00237BE0">
      <w:pPr>
        <w:spacing w:after="0"/>
      </w:pPr>
    </w:p>
    <w:sectPr w:rsidR="00237BE0">
      <w:pgSz w:w="12240" w:h="15840"/>
      <w:pgMar w:top="809" w:right="946" w:bottom="142"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59CE"/>
    <w:multiLevelType w:val="hybridMultilevel"/>
    <w:tmpl w:val="0B8C45A8"/>
    <w:lvl w:ilvl="0" w:tplc="8A58E9D0">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32FD3C">
      <w:start w:val="1"/>
      <w:numFmt w:val="bullet"/>
      <w:lvlText w:val="o"/>
      <w:lvlJc w:val="left"/>
      <w:pPr>
        <w:ind w:left="1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24043C">
      <w:start w:val="1"/>
      <w:numFmt w:val="bullet"/>
      <w:lvlText w:val="▪"/>
      <w:lvlJc w:val="left"/>
      <w:pPr>
        <w:ind w:left="2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EE5F12">
      <w:start w:val="1"/>
      <w:numFmt w:val="bullet"/>
      <w:lvlText w:val="•"/>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48A540">
      <w:start w:val="1"/>
      <w:numFmt w:val="bullet"/>
      <w:lvlText w:val="o"/>
      <w:lvlJc w:val="left"/>
      <w:pPr>
        <w:ind w:left="3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F2E2AE">
      <w:start w:val="1"/>
      <w:numFmt w:val="bullet"/>
      <w:lvlText w:val="▪"/>
      <w:lvlJc w:val="left"/>
      <w:pPr>
        <w:ind w:left="4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FAE1CC">
      <w:start w:val="1"/>
      <w:numFmt w:val="bullet"/>
      <w:lvlText w:val="•"/>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EC0BA6">
      <w:start w:val="1"/>
      <w:numFmt w:val="bullet"/>
      <w:lvlText w:val="o"/>
      <w:lvlJc w:val="left"/>
      <w:pPr>
        <w:ind w:left="5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E876AE">
      <w:start w:val="1"/>
      <w:numFmt w:val="bullet"/>
      <w:lvlText w:val="▪"/>
      <w:lvlJc w:val="left"/>
      <w:pPr>
        <w:ind w:left="6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CF5FB9"/>
    <w:multiLevelType w:val="hybridMultilevel"/>
    <w:tmpl w:val="077680D2"/>
    <w:lvl w:ilvl="0" w:tplc="7396DDF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E2D60E">
      <w:start w:val="1"/>
      <w:numFmt w:val="bullet"/>
      <w:lvlText w:val="o"/>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36DA98">
      <w:start w:val="1"/>
      <w:numFmt w:val="bullet"/>
      <w:lvlText w:val="▪"/>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505CF0">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14B4B6">
      <w:start w:val="1"/>
      <w:numFmt w:val="bullet"/>
      <w:lvlText w:val="o"/>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3429A6">
      <w:start w:val="1"/>
      <w:numFmt w:val="bullet"/>
      <w:lvlText w:val="▪"/>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24D120">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64925C">
      <w:start w:val="1"/>
      <w:numFmt w:val="bullet"/>
      <w:lvlText w:val="o"/>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871D6">
      <w:start w:val="1"/>
      <w:numFmt w:val="bullet"/>
      <w:lvlText w:val="▪"/>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231497"/>
    <w:multiLevelType w:val="hybridMultilevel"/>
    <w:tmpl w:val="1E0631E4"/>
    <w:lvl w:ilvl="0" w:tplc="409068A2">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A89CD6">
      <w:start w:val="1"/>
      <w:numFmt w:val="bullet"/>
      <w:lvlText w:val="o"/>
      <w:lvlJc w:val="left"/>
      <w:pPr>
        <w:ind w:left="1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E23C20">
      <w:start w:val="1"/>
      <w:numFmt w:val="bullet"/>
      <w:lvlText w:val="▪"/>
      <w:lvlJc w:val="left"/>
      <w:pPr>
        <w:ind w:left="2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8E58D8">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EC5DE8">
      <w:start w:val="1"/>
      <w:numFmt w:val="bullet"/>
      <w:lvlText w:val="o"/>
      <w:lvlJc w:val="left"/>
      <w:pPr>
        <w:ind w:left="3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DE2388">
      <w:start w:val="1"/>
      <w:numFmt w:val="bullet"/>
      <w:lvlText w:val="▪"/>
      <w:lvlJc w:val="left"/>
      <w:pPr>
        <w:ind w:left="4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8E249A">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8C3E2A">
      <w:start w:val="1"/>
      <w:numFmt w:val="bullet"/>
      <w:lvlText w:val="o"/>
      <w:lvlJc w:val="left"/>
      <w:pPr>
        <w:ind w:left="5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D47998">
      <w:start w:val="1"/>
      <w:numFmt w:val="bullet"/>
      <w:lvlText w:val="▪"/>
      <w:lvlJc w:val="left"/>
      <w:pPr>
        <w:ind w:left="6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6B8011A"/>
    <w:multiLevelType w:val="hybridMultilevel"/>
    <w:tmpl w:val="06D67F64"/>
    <w:lvl w:ilvl="0" w:tplc="A6C8E90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BA3F66">
      <w:start w:val="1"/>
      <w:numFmt w:val="bullet"/>
      <w:lvlText w:val="o"/>
      <w:lvlJc w:val="left"/>
      <w:pPr>
        <w:ind w:left="1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4EFCF0">
      <w:start w:val="1"/>
      <w:numFmt w:val="bullet"/>
      <w:lvlText w:val="▪"/>
      <w:lvlJc w:val="left"/>
      <w:pPr>
        <w:ind w:left="2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6C9A6E">
      <w:start w:val="1"/>
      <w:numFmt w:val="bullet"/>
      <w:lvlText w:val="•"/>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00F3EA">
      <w:start w:val="1"/>
      <w:numFmt w:val="bullet"/>
      <w:lvlText w:val="o"/>
      <w:lvlJc w:val="left"/>
      <w:pPr>
        <w:ind w:left="3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FEE51A">
      <w:start w:val="1"/>
      <w:numFmt w:val="bullet"/>
      <w:lvlText w:val="▪"/>
      <w:lvlJc w:val="left"/>
      <w:pPr>
        <w:ind w:left="4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06968A">
      <w:start w:val="1"/>
      <w:numFmt w:val="bullet"/>
      <w:lvlText w:val="•"/>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1A8922">
      <w:start w:val="1"/>
      <w:numFmt w:val="bullet"/>
      <w:lvlText w:val="o"/>
      <w:lvlJc w:val="left"/>
      <w:pPr>
        <w:ind w:left="5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C68706">
      <w:start w:val="1"/>
      <w:numFmt w:val="bullet"/>
      <w:lvlText w:val="▪"/>
      <w:lvlJc w:val="left"/>
      <w:pPr>
        <w:ind w:left="6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91304D"/>
    <w:multiLevelType w:val="hybridMultilevel"/>
    <w:tmpl w:val="7C32EB4E"/>
    <w:lvl w:ilvl="0" w:tplc="B30C7402">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14A896">
      <w:start w:val="1"/>
      <w:numFmt w:val="bullet"/>
      <w:lvlText w:val="o"/>
      <w:lvlJc w:val="left"/>
      <w:pPr>
        <w:ind w:left="1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BECF44">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58D8B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C471BE">
      <w:start w:val="1"/>
      <w:numFmt w:val="bullet"/>
      <w:lvlText w:val="o"/>
      <w:lvlJc w:val="left"/>
      <w:pPr>
        <w:ind w:left="3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164914">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F49BB8">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5295EE">
      <w:start w:val="1"/>
      <w:numFmt w:val="bullet"/>
      <w:lvlText w:val="o"/>
      <w:lvlJc w:val="left"/>
      <w:pPr>
        <w:ind w:left="5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2EFCCA">
      <w:start w:val="1"/>
      <w:numFmt w:val="bullet"/>
      <w:lvlText w:val="▪"/>
      <w:lvlJc w:val="left"/>
      <w:pPr>
        <w:ind w:left="6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19442EC"/>
    <w:multiLevelType w:val="hybridMultilevel"/>
    <w:tmpl w:val="15FE1988"/>
    <w:lvl w:ilvl="0" w:tplc="E73C6DA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5ECDFC">
      <w:start w:val="1"/>
      <w:numFmt w:val="bullet"/>
      <w:lvlText w:val="o"/>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4E8F74">
      <w:start w:val="1"/>
      <w:numFmt w:val="bullet"/>
      <w:lvlText w:val="▪"/>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C4D7D0">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D2B8B2">
      <w:start w:val="1"/>
      <w:numFmt w:val="bullet"/>
      <w:lvlText w:val="o"/>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3A1C78">
      <w:start w:val="1"/>
      <w:numFmt w:val="bullet"/>
      <w:lvlText w:val="▪"/>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DC4D64">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5EC6A0">
      <w:start w:val="1"/>
      <w:numFmt w:val="bullet"/>
      <w:lvlText w:val="o"/>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DC561E">
      <w:start w:val="1"/>
      <w:numFmt w:val="bullet"/>
      <w:lvlText w:val="▪"/>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91125263">
    <w:abstractNumId w:val="2"/>
  </w:num>
  <w:num w:numId="2" w16cid:durableId="1830945800">
    <w:abstractNumId w:val="5"/>
  </w:num>
  <w:num w:numId="3" w16cid:durableId="1361513142">
    <w:abstractNumId w:val="4"/>
  </w:num>
  <w:num w:numId="4" w16cid:durableId="475151893">
    <w:abstractNumId w:val="3"/>
  </w:num>
  <w:num w:numId="5" w16cid:durableId="446967043">
    <w:abstractNumId w:val="0"/>
  </w:num>
  <w:num w:numId="6" w16cid:durableId="88796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E0"/>
    <w:rsid w:val="00062602"/>
    <w:rsid w:val="0023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B43E8"/>
  <w15:docId w15:val="{6F03A2F4-EB1C-0146-AC5F-0F6744EA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49"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Practice Student Documentation 0823.pdf</dc:title>
  <dc:subject/>
  <dc:creator>Thalia Cole</dc:creator>
  <cp:keywords/>
  <cp:lastModifiedBy>Thalia Cole</cp:lastModifiedBy>
  <cp:revision>2</cp:revision>
  <dcterms:created xsi:type="dcterms:W3CDTF">2023-11-09T06:07:00Z</dcterms:created>
  <dcterms:modified xsi:type="dcterms:W3CDTF">2023-11-09T06:07:00Z</dcterms:modified>
</cp:coreProperties>
</file>