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2C494" w14:textId="77777777" w:rsidR="00735A01" w:rsidRDefault="00735A01" w:rsidP="00735A01">
      <w:pPr>
        <w:pStyle w:val="Header"/>
        <w:rPr>
          <w:b/>
          <w:color w:val="000000" w:themeColor="text1"/>
        </w:rPr>
      </w:pPr>
    </w:p>
    <w:p w14:paraId="1B4C4426" w14:textId="55E6EC1E" w:rsidR="00735A01" w:rsidRDefault="00735A01" w:rsidP="00735A01">
      <w:pPr>
        <w:pStyle w:val="Header"/>
      </w:pPr>
      <w:r>
        <w:rPr>
          <w:b/>
          <w:color w:val="000000" w:themeColor="text1"/>
        </w:rPr>
        <w:t xml:space="preserve">Name: </w:t>
      </w:r>
      <w:r w:rsidR="00EE2ED5">
        <w:rPr>
          <w:b/>
          <w:color w:val="000000" w:themeColor="text1"/>
        </w:rPr>
        <w:t>Michele Ramirez</w:t>
      </w:r>
    </w:p>
    <w:p w14:paraId="57DF2C50" w14:textId="77777777" w:rsidR="00735A01" w:rsidRDefault="00735A01" w:rsidP="009B726E">
      <w:pPr>
        <w:jc w:val="both"/>
        <w:rPr>
          <w:b/>
          <w:color w:val="000000" w:themeColor="text1"/>
        </w:rPr>
      </w:pPr>
    </w:p>
    <w:p w14:paraId="27B3CFFB" w14:textId="77777777" w:rsidR="00735A01" w:rsidRDefault="00735A01" w:rsidP="009B726E">
      <w:pPr>
        <w:jc w:val="both"/>
        <w:rPr>
          <w:b/>
          <w:color w:val="000000" w:themeColor="text1"/>
        </w:rPr>
      </w:pPr>
      <w:r>
        <w:rPr>
          <w:b/>
          <w:color w:val="000000" w:themeColor="text1"/>
        </w:rPr>
        <w:t>Point criteria</w:t>
      </w:r>
    </w:p>
    <w:tbl>
      <w:tblPr>
        <w:tblW w:w="5085"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590"/>
        <w:gridCol w:w="2590"/>
        <w:gridCol w:w="2590"/>
        <w:gridCol w:w="2590"/>
        <w:gridCol w:w="2810"/>
      </w:tblGrid>
      <w:tr w:rsidR="00735A01" w:rsidRPr="00FC38C4" w14:paraId="37EB8158" w14:textId="77777777" w:rsidTr="00017608">
        <w:trPr>
          <w:tblHeader/>
          <w:tblCellSpacing w:w="0" w:type="dxa"/>
          <w:jc w:val="center"/>
        </w:trPr>
        <w:tc>
          <w:tcPr>
            <w:tcW w:w="983" w:type="pct"/>
            <w:shd w:val="clear" w:color="auto" w:fill="EFE7D8"/>
            <w:vAlign w:val="center"/>
          </w:tcPr>
          <w:p w14:paraId="383E9EA2" w14:textId="0858EE15" w:rsidR="00735A01" w:rsidRPr="00FC38C4" w:rsidRDefault="00EE2ED5" w:rsidP="00017608">
            <w:pPr>
              <w:jc w:val="center"/>
              <w:rPr>
                <w:b/>
                <w:bCs/>
                <w:sz w:val="20"/>
                <w:szCs w:val="20"/>
              </w:rPr>
            </w:pPr>
            <w:r>
              <w:rPr>
                <w:b/>
                <w:bCs/>
                <w:sz w:val="20"/>
                <w:szCs w:val="20"/>
              </w:rPr>
              <w:t>S</w:t>
            </w:r>
          </w:p>
        </w:tc>
        <w:tc>
          <w:tcPr>
            <w:tcW w:w="983" w:type="pct"/>
            <w:shd w:val="clear" w:color="auto" w:fill="EFE7D8"/>
            <w:vAlign w:val="center"/>
          </w:tcPr>
          <w:p w14:paraId="55588D82" w14:textId="77777777" w:rsidR="00735A01" w:rsidRPr="00FC38C4" w:rsidRDefault="00735A01" w:rsidP="00017608">
            <w:pPr>
              <w:jc w:val="center"/>
              <w:rPr>
                <w:b/>
                <w:bCs/>
                <w:sz w:val="20"/>
                <w:szCs w:val="20"/>
              </w:rPr>
            </w:pPr>
            <w:r w:rsidRPr="00FC38C4">
              <w:rPr>
                <w:b/>
                <w:bCs/>
                <w:sz w:val="20"/>
                <w:szCs w:val="20"/>
              </w:rPr>
              <w:t>Under performance</w:t>
            </w:r>
          </w:p>
          <w:p w14:paraId="41399A34" w14:textId="77777777" w:rsidR="00735A01" w:rsidRPr="00FC38C4" w:rsidRDefault="00735A01" w:rsidP="00017608">
            <w:pPr>
              <w:jc w:val="center"/>
              <w:rPr>
                <w:b/>
                <w:bCs/>
                <w:sz w:val="20"/>
                <w:szCs w:val="20"/>
              </w:rPr>
            </w:pPr>
            <w:r w:rsidRPr="00347CB3">
              <w:rPr>
                <w:b/>
                <w:bCs/>
                <w:sz w:val="20"/>
                <w:szCs w:val="20"/>
              </w:rPr>
              <w:t>&lt;3 points per criteria</w:t>
            </w:r>
          </w:p>
        </w:tc>
        <w:tc>
          <w:tcPr>
            <w:tcW w:w="983" w:type="pct"/>
            <w:shd w:val="clear" w:color="auto" w:fill="EFE7D8"/>
            <w:vAlign w:val="center"/>
          </w:tcPr>
          <w:p w14:paraId="59DD9EE5" w14:textId="77777777" w:rsidR="00735A01" w:rsidRPr="00FC38C4" w:rsidRDefault="00735A01" w:rsidP="00017608">
            <w:pPr>
              <w:jc w:val="center"/>
              <w:rPr>
                <w:b/>
                <w:bCs/>
                <w:sz w:val="20"/>
                <w:szCs w:val="20"/>
              </w:rPr>
            </w:pPr>
            <w:r w:rsidRPr="00FC38C4">
              <w:rPr>
                <w:b/>
                <w:bCs/>
                <w:sz w:val="20"/>
                <w:szCs w:val="20"/>
              </w:rPr>
              <w:t>Basic</w:t>
            </w:r>
          </w:p>
          <w:p w14:paraId="2625A783" w14:textId="77777777" w:rsidR="00735A01" w:rsidRPr="00FC38C4" w:rsidRDefault="00735A01" w:rsidP="00017608">
            <w:pPr>
              <w:jc w:val="center"/>
              <w:rPr>
                <w:b/>
                <w:bCs/>
                <w:sz w:val="20"/>
                <w:szCs w:val="20"/>
              </w:rPr>
            </w:pPr>
            <w:r w:rsidRPr="00347CB3">
              <w:rPr>
                <w:b/>
                <w:bCs/>
                <w:sz w:val="20"/>
                <w:szCs w:val="20"/>
              </w:rPr>
              <w:t>3 – 3.9 points per criteria</w:t>
            </w:r>
          </w:p>
        </w:tc>
        <w:tc>
          <w:tcPr>
            <w:tcW w:w="983" w:type="pct"/>
            <w:shd w:val="clear" w:color="auto" w:fill="EFE7D8"/>
            <w:vAlign w:val="center"/>
          </w:tcPr>
          <w:p w14:paraId="0D980AC9" w14:textId="77777777" w:rsidR="00735A01" w:rsidRPr="00FC38C4" w:rsidRDefault="00735A01" w:rsidP="00017608">
            <w:pPr>
              <w:jc w:val="center"/>
              <w:rPr>
                <w:b/>
                <w:bCs/>
                <w:sz w:val="20"/>
                <w:szCs w:val="20"/>
              </w:rPr>
            </w:pPr>
            <w:r w:rsidRPr="00FC38C4">
              <w:rPr>
                <w:b/>
                <w:bCs/>
                <w:sz w:val="20"/>
                <w:szCs w:val="20"/>
              </w:rPr>
              <w:t>Proficient</w:t>
            </w:r>
          </w:p>
          <w:p w14:paraId="1CE26B5B" w14:textId="77777777" w:rsidR="00735A01" w:rsidRPr="00FC38C4" w:rsidRDefault="00735A01" w:rsidP="00017608">
            <w:pPr>
              <w:jc w:val="center"/>
              <w:rPr>
                <w:b/>
                <w:bCs/>
                <w:sz w:val="20"/>
                <w:szCs w:val="20"/>
              </w:rPr>
            </w:pPr>
            <w:r w:rsidRPr="00347CB3">
              <w:rPr>
                <w:b/>
                <w:bCs/>
                <w:sz w:val="20"/>
                <w:szCs w:val="20"/>
              </w:rPr>
              <w:t>4.0 – 4.4 points per criteria</w:t>
            </w:r>
          </w:p>
        </w:tc>
        <w:tc>
          <w:tcPr>
            <w:tcW w:w="1067" w:type="pct"/>
            <w:shd w:val="clear" w:color="auto" w:fill="EFE7D8"/>
            <w:vAlign w:val="center"/>
          </w:tcPr>
          <w:p w14:paraId="353D4D96" w14:textId="77777777" w:rsidR="00735A01" w:rsidRPr="00FC38C4" w:rsidRDefault="00735A01" w:rsidP="00017608">
            <w:pPr>
              <w:jc w:val="center"/>
              <w:rPr>
                <w:b/>
                <w:bCs/>
                <w:sz w:val="20"/>
                <w:szCs w:val="20"/>
              </w:rPr>
            </w:pPr>
            <w:r w:rsidRPr="00FC38C4">
              <w:rPr>
                <w:b/>
                <w:bCs/>
                <w:sz w:val="20"/>
                <w:szCs w:val="20"/>
              </w:rPr>
              <w:t>Distinguished</w:t>
            </w:r>
          </w:p>
          <w:p w14:paraId="0BD650EE" w14:textId="77777777" w:rsidR="00735A01" w:rsidRPr="00FC38C4" w:rsidRDefault="00735A01" w:rsidP="00017608">
            <w:pPr>
              <w:jc w:val="center"/>
              <w:rPr>
                <w:b/>
                <w:bCs/>
                <w:sz w:val="20"/>
                <w:szCs w:val="20"/>
              </w:rPr>
            </w:pPr>
            <w:r w:rsidRPr="00347CB3">
              <w:rPr>
                <w:b/>
                <w:bCs/>
                <w:sz w:val="20"/>
                <w:szCs w:val="20"/>
              </w:rPr>
              <w:t>4.5 – 5 points per criteria</w:t>
            </w:r>
          </w:p>
        </w:tc>
      </w:tr>
      <w:tr w:rsidR="00735A01" w:rsidRPr="00FC38C4" w14:paraId="4ED22CC3" w14:textId="77777777" w:rsidTr="00017608">
        <w:trPr>
          <w:tblCellSpacing w:w="0" w:type="dxa"/>
          <w:jc w:val="center"/>
        </w:trPr>
        <w:tc>
          <w:tcPr>
            <w:tcW w:w="983" w:type="pct"/>
            <w:vAlign w:val="center"/>
          </w:tcPr>
          <w:p w14:paraId="60CDE05D" w14:textId="77777777" w:rsidR="00735A01" w:rsidRPr="00FC38C4" w:rsidRDefault="00735A01" w:rsidP="00017608">
            <w:pPr>
              <w:rPr>
                <w:sz w:val="20"/>
                <w:szCs w:val="20"/>
              </w:rPr>
            </w:pPr>
            <w:r w:rsidRPr="00FC38C4">
              <w:rPr>
                <w:b/>
                <w:bCs/>
                <w:sz w:val="20"/>
                <w:szCs w:val="20"/>
              </w:rPr>
              <w:t>Required content objectives</w:t>
            </w:r>
          </w:p>
        </w:tc>
        <w:tc>
          <w:tcPr>
            <w:tcW w:w="983" w:type="pct"/>
          </w:tcPr>
          <w:p w14:paraId="55252FFE" w14:textId="77777777" w:rsidR="00735A01" w:rsidRPr="00FC38C4" w:rsidRDefault="00735A01" w:rsidP="00017608">
            <w:pPr>
              <w:rPr>
                <w:sz w:val="20"/>
                <w:szCs w:val="20"/>
              </w:rPr>
            </w:pPr>
            <w:r w:rsidRPr="00FC38C4">
              <w:rPr>
                <w:sz w:val="20"/>
                <w:szCs w:val="20"/>
              </w:rPr>
              <w:t>Content objectives are missing or sparsely covered.</w:t>
            </w:r>
            <w:r>
              <w:rPr>
                <w:sz w:val="20"/>
                <w:szCs w:val="20"/>
              </w:rPr>
              <w:t xml:space="preserve"> </w:t>
            </w:r>
          </w:p>
        </w:tc>
        <w:tc>
          <w:tcPr>
            <w:tcW w:w="983" w:type="pct"/>
          </w:tcPr>
          <w:p w14:paraId="0EAF05CF" w14:textId="77777777" w:rsidR="00735A01" w:rsidRPr="00FC38C4" w:rsidRDefault="00735A01" w:rsidP="00017608">
            <w:pPr>
              <w:rPr>
                <w:sz w:val="20"/>
                <w:szCs w:val="20"/>
              </w:rPr>
            </w:pPr>
            <w:r w:rsidRPr="00FC38C4">
              <w:rPr>
                <w:sz w:val="20"/>
                <w:szCs w:val="20"/>
              </w:rPr>
              <w:t>Content objectives are not consistently addressed. Demonstrates minimal understanding of content.</w:t>
            </w:r>
            <w:r>
              <w:rPr>
                <w:sz w:val="20"/>
                <w:szCs w:val="20"/>
              </w:rPr>
              <w:t xml:space="preserve"> </w:t>
            </w:r>
          </w:p>
        </w:tc>
        <w:tc>
          <w:tcPr>
            <w:tcW w:w="983" w:type="pct"/>
          </w:tcPr>
          <w:p w14:paraId="6B7E8434" w14:textId="77777777" w:rsidR="00735A01" w:rsidRPr="00FC38C4" w:rsidRDefault="00735A01" w:rsidP="00017608">
            <w:pPr>
              <w:rPr>
                <w:sz w:val="20"/>
                <w:szCs w:val="20"/>
              </w:rPr>
            </w:pPr>
            <w:r w:rsidRPr="00FC38C4">
              <w:rPr>
                <w:sz w:val="20"/>
                <w:szCs w:val="20"/>
              </w:rPr>
              <w:t xml:space="preserve">Content objectives consistently addressed. Demonstrates understanding of content. </w:t>
            </w:r>
          </w:p>
        </w:tc>
        <w:tc>
          <w:tcPr>
            <w:tcW w:w="1067" w:type="pct"/>
          </w:tcPr>
          <w:p w14:paraId="6FA2ACF5" w14:textId="77777777" w:rsidR="00735A01" w:rsidRPr="00FC38C4" w:rsidRDefault="00735A01" w:rsidP="00017608">
            <w:pPr>
              <w:rPr>
                <w:sz w:val="20"/>
                <w:szCs w:val="20"/>
              </w:rPr>
            </w:pPr>
            <w:r w:rsidRPr="00FC38C4">
              <w:rPr>
                <w:sz w:val="20"/>
                <w:szCs w:val="20"/>
              </w:rPr>
              <w:t xml:space="preserve">Content objectives consistently addressed. Demonstrates mastery of content. </w:t>
            </w:r>
          </w:p>
        </w:tc>
      </w:tr>
      <w:tr w:rsidR="00735A01" w:rsidRPr="00FC38C4" w14:paraId="6DEBCE0B" w14:textId="77777777" w:rsidTr="00017608">
        <w:trPr>
          <w:tblCellSpacing w:w="0" w:type="dxa"/>
          <w:jc w:val="center"/>
        </w:trPr>
        <w:tc>
          <w:tcPr>
            <w:tcW w:w="983" w:type="pct"/>
            <w:vAlign w:val="center"/>
          </w:tcPr>
          <w:p w14:paraId="700C151F" w14:textId="77777777" w:rsidR="00735A01" w:rsidRPr="00FC38C4" w:rsidRDefault="00735A01" w:rsidP="00017608">
            <w:pPr>
              <w:rPr>
                <w:sz w:val="20"/>
                <w:szCs w:val="20"/>
              </w:rPr>
            </w:pPr>
            <w:r w:rsidRPr="00FC38C4">
              <w:rPr>
                <w:b/>
                <w:bCs/>
                <w:sz w:val="20"/>
                <w:szCs w:val="20"/>
              </w:rPr>
              <w:t>Academic writing standards</w:t>
            </w:r>
          </w:p>
        </w:tc>
        <w:tc>
          <w:tcPr>
            <w:tcW w:w="983" w:type="pct"/>
          </w:tcPr>
          <w:p w14:paraId="1A932FC3" w14:textId="77777777" w:rsidR="00735A01" w:rsidRPr="00FC38C4" w:rsidRDefault="00735A01" w:rsidP="00017608">
            <w:pPr>
              <w:rPr>
                <w:sz w:val="20"/>
                <w:szCs w:val="20"/>
              </w:rPr>
            </w:pPr>
            <w:r w:rsidRPr="00FC38C4">
              <w:rPr>
                <w:sz w:val="20"/>
                <w:szCs w:val="20"/>
              </w:rPr>
              <w:t xml:space="preserve">Writing lacks scholarly tone &amp; focus. Sparse content. Multiple grammatical, spelling, &amp; factual errors. </w:t>
            </w:r>
            <w:r>
              <w:rPr>
                <w:sz w:val="20"/>
                <w:szCs w:val="20"/>
              </w:rPr>
              <w:t>Reliance on bullet points rather than effective writing in speaker notes. 4 or more direct quotes per project.</w:t>
            </w:r>
          </w:p>
        </w:tc>
        <w:tc>
          <w:tcPr>
            <w:tcW w:w="983" w:type="pct"/>
          </w:tcPr>
          <w:p w14:paraId="1B9C1C17" w14:textId="77777777" w:rsidR="00735A01" w:rsidRPr="00FC38C4" w:rsidRDefault="00735A01" w:rsidP="00017608">
            <w:pPr>
              <w:rPr>
                <w:sz w:val="20"/>
                <w:szCs w:val="20"/>
              </w:rPr>
            </w:pPr>
            <w:r w:rsidRPr="00FC38C4">
              <w:rPr>
                <w:sz w:val="20"/>
                <w:szCs w:val="20"/>
              </w:rPr>
              <w:t>Writing is unclear and/or disorganized. Inconsistent scholarly tone. Inadequate depth of content. Grammatical and spelling errors.</w:t>
            </w:r>
            <w:r>
              <w:rPr>
                <w:sz w:val="20"/>
                <w:szCs w:val="20"/>
              </w:rPr>
              <w:t xml:space="preserve"> </w:t>
            </w:r>
            <w:r>
              <w:rPr>
                <w:rFonts w:ascii="Calibri" w:hAnsi="Calibri"/>
                <w:sz w:val="18"/>
                <w:szCs w:val="18"/>
              </w:rPr>
              <w:t>No more than 3 direct quote of</w:t>
            </w:r>
            <w:r w:rsidRPr="003E66B7">
              <w:rPr>
                <w:rFonts w:ascii="Calibri" w:hAnsi="Calibri"/>
                <w:sz w:val="18"/>
                <w:szCs w:val="18"/>
              </w:rPr>
              <w:t xml:space="preserve"> less </w:t>
            </w:r>
            <w:r>
              <w:rPr>
                <w:rFonts w:ascii="Calibri" w:hAnsi="Calibri"/>
                <w:sz w:val="18"/>
                <w:szCs w:val="18"/>
              </w:rPr>
              <w:t>than 40 words per project.</w:t>
            </w:r>
          </w:p>
        </w:tc>
        <w:tc>
          <w:tcPr>
            <w:tcW w:w="983" w:type="pct"/>
          </w:tcPr>
          <w:p w14:paraId="4EEE6670" w14:textId="77777777" w:rsidR="00735A01" w:rsidRPr="00FC38C4" w:rsidRDefault="00735A01" w:rsidP="00017608">
            <w:pPr>
              <w:rPr>
                <w:sz w:val="20"/>
                <w:szCs w:val="20"/>
              </w:rPr>
            </w:pPr>
            <w:r w:rsidRPr="00FC38C4">
              <w:rPr>
                <w:sz w:val="20"/>
                <w:szCs w:val="20"/>
              </w:rPr>
              <w:t xml:space="preserve">Writing demonstrates general exploration of content. </w:t>
            </w:r>
            <w:r>
              <w:rPr>
                <w:sz w:val="20"/>
                <w:szCs w:val="20"/>
              </w:rPr>
              <w:t>Responses</w:t>
            </w:r>
            <w:r w:rsidRPr="00FC38C4">
              <w:rPr>
                <w:sz w:val="20"/>
                <w:szCs w:val="20"/>
              </w:rPr>
              <w:t xml:space="preserve"> are clearly written using scholarly tone. Few grammatical and/or spelling errors.</w:t>
            </w:r>
            <w:r>
              <w:rPr>
                <w:sz w:val="20"/>
                <w:szCs w:val="20"/>
              </w:rPr>
              <w:t xml:space="preserve"> </w:t>
            </w:r>
            <w:r>
              <w:rPr>
                <w:rFonts w:ascii="Calibri" w:hAnsi="Calibri"/>
                <w:sz w:val="18"/>
                <w:szCs w:val="18"/>
              </w:rPr>
              <w:t>No more than 2 direct quote of</w:t>
            </w:r>
            <w:r w:rsidRPr="003E66B7">
              <w:rPr>
                <w:rFonts w:ascii="Calibri" w:hAnsi="Calibri"/>
                <w:sz w:val="18"/>
                <w:szCs w:val="18"/>
              </w:rPr>
              <w:t xml:space="preserve"> less </w:t>
            </w:r>
            <w:r>
              <w:rPr>
                <w:rFonts w:ascii="Calibri" w:hAnsi="Calibri"/>
                <w:sz w:val="18"/>
                <w:szCs w:val="18"/>
              </w:rPr>
              <w:t>than 40 words per project.</w:t>
            </w:r>
          </w:p>
        </w:tc>
        <w:tc>
          <w:tcPr>
            <w:tcW w:w="1067" w:type="pct"/>
          </w:tcPr>
          <w:p w14:paraId="2ADCA67D" w14:textId="77777777" w:rsidR="00735A01" w:rsidRPr="00FC38C4" w:rsidRDefault="00735A01" w:rsidP="00017608">
            <w:pPr>
              <w:rPr>
                <w:sz w:val="20"/>
                <w:szCs w:val="20"/>
              </w:rPr>
            </w:pPr>
            <w:r w:rsidRPr="00FC38C4">
              <w:rPr>
                <w:sz w:val="20"/>
                <w:szCs w:val="20"/>
              </w:rPr>
              <w:t xml:space="preserve">Writing demonstrates comprehensive exploration of content. </w:t>
            </w:r>
            <w:r>
              <w:rPr>
                <w:sz w:val="20"/>
                <w:szCs w:val="20"/>
              </w:rPr>
              <w:t>Responses</w:t>
            </w:r>
            <w:r w:rsidRPr="00FC38C4">
              <w:rPr>
                <w:sz w:val="20"/>
                <w:szCs w:val="20"/>
              </w:rPr>
              <w:t xml:space="preserve"> are clearly written using scholarly tone. Rare grammatical and/or spelling errors.</w:t>
            </w:r>
            <w:r>
              <w:rPr>
                <w:sz w:val="20"/>
                <w:szCs w:val="20"/>
              </w:rPr>
              <w:t xml:space="preserve"> </w:t>
            </w:r>
            <w:r>
              <w:rPr>
                <w:rFonts w:ascii="Calibri" w:hAnsi="Calibri"/>
                <w:sz w:val="18"/>
                <w:szCs w:val="18"/>
              </w:rPr>
              <w:t>No more than 1 direct quote of</w:t>
            </w:r>
            <w:r w:rsidRPr="003E66B7">
              <w:rPr>
                <w:rFonts w:ascii="Calibri" w:hAnsi="Calibri"/>
                <w:sz w:val="18"/>
                <w:szCs w:val="18"/>
              </w:rPr>
              <w:t xml:space="preserve"> less </w:t>
            </w:r>
            <w:r>
              <w:rPr>
                <w:rFonts w:ascii="Calibri" w:hAnsi="Calibri"/>
                <w:sz w:val="18"/>
                <w:szCs w:val="18"/>
              </w:rPr>
              <w:t>than 40 words per project.</w:t>
            </w:r>
          </w:p>
        </w:tc>
      </w:tr>
      <w:tr w:rsidR="00735A01" w:rsidRPr="00FC38C4" w14:paraId="17738507" w14:textId="77777777" w:rsidTr="00017608">
        <w:trPr>
          <w:tblCellSpacing w:w="0" w:type="dxa"/>
          <w:jc w:val="center"/>
        </w:trPr>
        <w:tc>
          <w:tcPr>
            <w:tcW w:w="983" w:type="pct"/>
            <w:vAlign w:val="center"/>
          </w:tcPr>
          <w:p w14:paraId="0A4C6486" w14:textId="77777777" w:rsidR="00735A01" w:rsidRPr="00FC38C4" w:rsidRDefault="00735A01" w:rsidP="00017608">
            <w:pPr>
              <w:rPr>
                <w:b/>
                <w:bCs/>
                <w:sz w:val="20"/>
                <w:szCs w:val="20"/>
              </w:rPr>
            </w:pPr>
            <w:r w:rsidRPr="00FC38C4">
              <w:rPr>
                <w:b/>
                <w:bCs/>
                <w:sz w:val="20"/>
                <w:szCs w:val="20"/>
              </w:rPr>
              <w:t xml:space="preserve">APA formatting </w:t>
            </w:r>
          </w:p>
        </w:tc>
        <w:tc>
          <w:tcPr>
            <w:tcW w:w="983" w:type="pct"/>
          </w:tcPr>
          <w:p w14:paraId="2FB92B24" w14:textId="77777777" w:rsidR="00735A01" w:rsidRPr="00FC38C4" w:rsidRDefault="00735A01" w:rsidP="00017608">
            <w:pPr>
              <w:rPr>
                <w:sz w:val="20"/>
                <w:szCs w:val="20"/>
              </w:rPr>
            </w:pPr>
            <w:r w:rsidRPr="00FC38C4">
              <w:rPr>
                <w:sz w:val="20"/>
                <w:szCs w:val="20"/>
              </w:rPr>
              <w:t>References and citations have multiple errors or are missing.</w:t>
            </w:r>
          </w:p>
        </w:tc>
        <w:tc>
          <w:tcPr>
            <w:tcW w:w="983" w:type="pct"/>
          </w:tcPr>
          <w:p w14:paraId="6DB8E256" w14:textId="77777777" w:rsidR="00735A01" w:rsidRPr="00FC38C4" w:rsidRDefault="00735A01" w:rsidP="00017608">
            <w:pPr>
              <w:rPr>
                <w:sz w:val="20"/>
                <w:szCs w:val="20"/>
              </w:rPr>
            </w:pPr>
            <w:r w:rsidRPr="00FC38C4">
              <w:rPr>
                <w:sz w:val="20"/>
                <w:szCs w:val="20"/>
              </w:rPr>
              <w:t>References and citations have errors.</w:t>
            </w:r>
          </w:p>
        </w:tc>
        <w:tc>
          <w:tcPr>
            <w:tcW w:w="983" w:type="pct"/>
          </w:tcPr>
          <w:p w14:paraId="68CFEA69" w14:textId="77777777" w:rsidR="00735A01" w:rsidRPr="00FC38C4" w:rsidRDefault="00735A01" w:rsidP="00017608">
            <w:pPr>
              <w:rPr>
                <w:sz w:val="20"/>
                <w:szCs w:val="20"/>
              </w:rPr>
            </w:pPr>
            <w:r w:rsidRPr="00FC38C4">
              <w:rPr>
                <w:sz w:val="20"/>
                <w:szCs w:val="20"/>
              </w:rPr>
              <w:t>References and citations have few errors.</w:t>
            </w:r>
          </w:p>
        </w:tc>
        <w:tc>
          <w:tcPr>
            <w:tcW w:w="1067" w:type="pct"/>
          </w:tcPr>
          <w:p w14:paraId="0B60B103" w14:textId="77777777" w:rsidR="00735A01" w:rsidRPr="00FC38C4" w:rsidRDefault="00735A01" w:rsidP="00017608">
            <w:pPr>
              <w:rPr>
                <w:sz w:val="20"/>
                <w:szCs w:val="20"/>
              </w:rPr>
            </w:pPr>
            <w:r w:rsidRPr="00FC38C4">
              <w:rPr>
                <w:sz w:val="20"/>
                <w:szCs w:val="20"/>
              </w:rPr>
              <w:t>References and citations have rare errors.</w:t>
            </w:r>
          </w:p>
        </w:tc>
      </w:tr>
    </w:tbl>
    <w:p w14:paraId="45C31537" w14:textId="77777777" w:rsidR="00735A01" w:rsidRDefault="00735A01" w:rsidP="009B726E">
      <w:pPr>
        <w:jc w:val="both"/>
        <w:rPr>
          <w:b/>
          <w:color w:val="000000" w:themeColor="text1"/>
        </w:rPr>
      </w:pPr>
    </w:p>
    <w:p w14:paraId="6811B73E" w14:textId="77777777" w:rsidR="009B726E" w:rsidRDefault="00735A01" w:rsidP="009B726E">
      <w:pPr>
        <w:jc w:val="both"/>
        <w:rPr>
          <w:b/>
          <w:color w:val="FF0000"/>
        </w:rPr>
      </w:pPr>
      <w:r>
        <w:rPr>
          <w:b/>
          <w:color w:val="000000" w:themeColor="text1"/>
        </w:rPr>
        <w:t xml:space="preserve">Carefully review the assignment rubric above for how points are awarded. </w:t>
      </w:r>
      <w:r w:rsidR="009B726E" w:rsidRPr="00C83FFD">
        <w:rPr>
          <w:b/>
          <w:color w:val="000000" w:themeColor="text1"/>
        </w:rPr>
        <w:t>Using academic writing standards and APA formatting</w:t>
      </w:r>
      <w:r w:rsidR="009B726E">
        <w:rPr>
          <w:b/>
          <w:color w:val="000000" w:themeColor="text1"/>
        </w:rPr>
        <w:t xml:space="preserve"> of references</w:t>
      </w:r>
      <w:r>
        <w:rPr>
          <w:b/>
          <w:color w:val="000000" w:themeColor="text1"/>
        </w:rPr>
        <w:t xml:space="preserve"> and citations</w:t>
      </w:r>
      <w:r w:rsidR="009B726E" w:rsidRPr="00C83FFD">
        <w:rPr>
          <w:b/>
          <w:color w:val="000000" w:themeColor="text1"/>
        </w:rPr>
        <w:t>, respond</w:t>
      </w:r>
      <w:r w:rsidR="009B726E">
        <w:rPr>
          <w:b/>
          <w:color w:val="000000" w:themeColor="text1"/>
        </w:rPr>
        <w:t xml:space="preserve"> to</w:t>
      </w:r>
      <w:r w:rsidR="009B726E" w:rsidRPr="00C83FFD">
        <w:rPr>
          <w:b/>
          <w:color w:val="000000" w:themeColor="text1"/>
        </w:rPr>
        <w:t xml:space="preserve"> </w:t>
      </w:r>
      <w:r w:rsidR="009B726E">
        <w:rPr>
          <w:b/>
          <w:color w:val="000000" w:themeColor="text1"/>
        </w:rPr>
        <w:t>each of</w:t>
      </w:r>
      <w:r>
        <w:rPr>
          <w:b/>
          <w:color w:val="000000" w:themeColor="text1"/>
        </w:rPr>
        <w:t xml:space="preserve"> the </w:t>
      </w:r>
      <w:r w:rsidR="009B726E" w:rsidRPr="00C83FFD">
        <w:rPr>
          <w:b/>
          <w:color w:val="000000" w:themeColor="text1"/>
        </w:rPr>
        <w:t>learning objectives</w:t>
      </w:r>
      <w:r>
        <w:rPr>
          <w:b/>
          <w:color w:val="000000" w:themeColor="text1"/>
        </w:rPr>
        <w:t xml:space="preserve"> on page two</w:t>
      </w:r>
      <w:r w:rsidR="009B726E" w:rsidRPr="00C83FFD">
        <w:rPr>
          <w:b/>
          <w:color w:val="000000" w:themeColor="text1"/>
        </w:rPr>
        <w:t xml:space="preserve">. </w:t>
      </w:r>
      <w:r w:rsidRPr="00735A01">
        <w:rPr>
          <w:b/>
          <w:color w:val="000000" w:themeColor="text1"/>
          <w:highlight w:val="yellow"/>
        </w:rPr>
        <w:t>Each response</w:t>
      </w:r>
      <w:r w:rsidR="009B726E" w:rsidRPr="00735A01">
        <w:rPr>
          <w:b/>
          <w:color w:val="000000" w:themeColor="text1"/>
          <w:highlight w:val="yellow"/>
        </w:rPr>
        <w:t xml:space="preserve"> should be 150-350 words in length.</w:t>
      </w:r>
      <w:r w:rsidR="009B726E">
        <w:rPr>
          <w:b/>
          <w:color w:val="000000" w:themeColor="text1"/>
        </w:rPr>
        <w:t xml:space="preserve"> Save the completed document as the assignment title and submit to the </w:t>
      </w:r>
      <w:proofErr w:type="spellStart"/>
      <w:r w:rsidR="009B726E">
        <w:rPr>
          <w:b/>
          <w:color w:val="000000" w:themeColor="text1"/>
        </w:rPr>
        <w:t>dropbox</w:t>
      </w:r>
      <w:proofErr w:type="spellEnd"/>
      <w:r w:rsidR="009B726E">
        <w:rPr>
          <w:b/>
          <w:color w:val="000000" w:themeColor="text1"/>
        </w:rPr>
        <w:t>.</w:t>
      </w:r>
    </w:p>
    <w:p w14:paraId="0AAFC4AE" w14:textId="77777777" w:rsidR="00735A01" w:rsidRDefault="00735A01" w:rsidP="009B726E">
      <w:pPr>
        <w:jc w:val="both"/>
        <w:rPr>
          <w:b/>
          <w:color w:val="FF0000"/>
        </w:rPr>
      </w:pPr>
    </w:p>
    <w:p w14:paraId="1419040E" w14:textId="77777777" w:rsidR="00735A01" w:rsidRDefault="00735A01" w:rsidP="009B726E">
      <w:pPr>
        <w:jc w:val="both"/>
        <w:rPr>
          <w:b/>
          <w:color w:val="FF0000"/>
        </w:rPr>
      </w:pPr>
    </w:p>
    <w:p w14:paraId="1EBD5372" w14:textId="77777777" w:rsidR="00735A01" w:rsidRDefault="00735A01" w:rsidP="009B726E">
      <w:pPr>
        <w:jc w:val="both"/>
        <w:rPr>
          <w:b/>
          <w:color w:val="FF0000"/>
        </w:rPr>
      </w:pPr>
    </w:p>
    <w:p w14:paraId="60370565" w14:textId="3CEB0B4D" w:rsidR="00735A01" w:rsidRDefault="007E32D1" w:rsidP="00735A01">
      <w:pPr>
        <w:pStyle w:val="ListParagraph"/>
        <w:numPr>
          <w:ilvl w:val="0"/>
          <w:numId w:val="4"/>
        </w:numPr>
        <w:jc w:val="both"/>
      </w:pPr>
      <w:r>
        <w:lastRenderedPageBreak/>
        <w:t>Explain</w:t>
      </w:r>
      <w:r w:rsidR="00735A01">
        <w:t xml:space="preserve"> the pelvic nerves responsible for sexual function and how the sympathetic &amp; parasympathetic nervous systems impact this process.</w:t>
      </w:r>
    </w:p>
    <w:p w14:paraId="5B864A61" w14:textId="77777777" w:rsidR="00246FBE" w:rsidRDefault="00246FBE" w:rsidP="00246FBE">
      <w:pPr>
        <w:pStyle w:val="ListParagraph"/>
        <w:jc w:val="both"/>
      </w:pPr>
    </w:p>
    <w:p w14:paraId="3D539017" w14:textId="49BBB106" w:rsidR="00246FBE" w:rsidRDefault="00246FBE" w:rsidP="00246FBE">
      <w:pPr>
        <w:pStyle w:val="ListParagraph"/>
        <w:jc w:val="both"/>
      </w:pPr>
      <w:r>
        <w:t xml:space="preserve">Pelvic nerves responsible for sexual function include the pudendal nerve, the pelvic splanchnic nerves, and the hypogastric nerve. These nerves play a crucial role in the sexual response cycle by controlling blood flow to the genital area and the contraction and relaxation of muscles in the pelvic region. </w:t>
      </w:r>
    </w:p>
    <w:p w14:paraId="5AF4D84D" w14:textId="77777777" w:rsidR="00A7142D" w:rsidRDefault="00A7142D" w:rsidP="00246FBE">
      <w:pPr>
        <w:pStyle w:val="ListParagraph"/>
        <w:jc w:val="both"/>
      </w:pPr>
    </w:p>
    <w:p w14:paraId="6BA57BBC" w14:textId="153FE607" w:rsidR="00A7142D" w:rsidRDefault="00A7142D" w:rsidP="00246FBE">
      <w:pPr>
        <w:pStyle w:val="ListParagraph"/>
        <w:jc w:val="both"/>
      </w:pPr>
      <w:r>
        <w:t>The pudendal nerve is a nerve that originates from the sacral plexus and supplies the perineum, including the external genitalia, anus, and associated muscles. It plays a crucial role in sexual function, providing sensory and motor innervation to the genital region. Dysfunction of the pudendal nerve can lead to sexual dysfunction, urinary incontinence, and other pe</w:t>
      </w:r>
      <w:r w:rsidR="000F7005">
        <w:t xml:space="preserve">lvic </w:t>
      </w:r>
      <w:r>
        <w:t xml:space="preserve">floor disorders. </w:t>
      </w:r>
      <w:r w:rsidR="00022456">
        <w:t xml:space="preserve">The hypogastric nerve is a nerve that originates in the pelvis and plays a crucial role in regulating various physiological processes, including sexual function. It is a part of the autonomic nervous system. It is responsible for controlling the muscles of the bladder and bowel, as well as blood flow to the genitals during sexual arousal. </w:t>
      </w:r>
      <w:r w:rsidR="007A6148">
        <w:t xml:space="preserve">Injury to this nerve can lead to erectile dysfunction and impaired vaginal lubrication. </w:t>
      </w:r>
      <w:r w:rsidR="0069748D">
        <w:t xml:space="preserve">The pelvic splanchnic nerve plays a vital role in sexual activity. This includes erection and ejaculation. Any damage or dysfunction to this nerve can lead to erectile dysfunction or difficulty achieving an orgasm. </w:t>
      </w:r>
    </w:p>
    <w:p w14:paraId="71D32CF9" w14:textId="77777777" w:rsidR="0069748D" w:rsidRDefault="0069748D" w:rsidP="00246FBE">
      <w:pPr>
        <w:pStyle w:val="ListParagraph"/>
        <w:jc w:val="both"/>
      </w:pPr>
    </w:p>
    <w:p w14:paraId="0E65E36B" w14:textId="0413D447" w:rsidR="0069748D" w:rsidRDefault="0069748D" w:rsidP="00246FBE">
      <w:pPr>
        <w:pStyle w:val="ListParagraph"/>
        <w:jc w:val="both"/>
      </w:pPr>
      <w:r>
        <w:t xml:space="preserve">The parasympathetic and sympathetic </w:t>
      </w:r>
      <w:r w:rsidR="00DB1D84">
        <w:t>systems</w:t>
      </w:r>
      <w:r>
        <w:t xml:space="preserve"> are activated during </w:t>
      </w:r>
      <w:r w:rsidR="00DB1D84">
        <w:t xml:space="preserve">sexual arousal. The sympathetic system is responsible for ejaculation, and the sympathetic system is responsible for excitatory mechanisms, including vaginal lubrication and ejaculation. </w:t>
      </w:r>
    </w:p>
    <w:p w14:paraId="39D6CA62" w14:textId="77777777" w:rsidR="007E32D1" w:rsidRDefault="007E32D1" w:rsidP="007E32D1">
      <w:pPr>
        <w:jc w:val="both"/>
      </w:pPr>
    </w:p>
    <w:p w14:paraId="001EF184" w14:textId="77777777" w:rsidR="00735A01" w:rsidRDefault="00735A01" w:rsidP="00735A01">
      <w:pPr>
        <w:pStyle w:val="ListParagraph"/>
        <w:numPr>
          <w:ilvl w:val="0"/>
          <w:numId w:val="4"/>
        </w:numPr>
        <w:jc w:val="both"/>
      </w:pPr>
      <w:r>
        <w:t>D</w:t>
      </w:r>
      <w:r w:rsidR="007E32D1">
        <w:t>ifferentiate between</w:t>
      </w:r>
      <w:r>
        <w:t xml:space="preserve"> body image and self-concept. </w:t>
      </w:r>
    </w:p>
    <w:p w14:paraId="73C84E1E" w14:textId="77777777" w:rsidR="009F3708" w:rsidRDefault="009F3708" w:rsidP="009F3708">
      <w:pPr>
        <w:pStyle w:val="ListParagraph"/>
      </w:pPr>
    </w:p>
    <w:p w14:paraId="3A26C1BA" w14:textId="6D172D0E" w:rsidR="009F3708" w:rsidRDefault="009F3708" w:rsidP="009F3708">
      <w:pPr>
        <w:pStyle w:val="ListParagraph"/>
        <w:jc w:val="both"/>
      </w:pPr>
      <w:r>
        <w:t xml:space="preserve">Body image refers to an individual’s perception and evaluation of their physical appearance. This includes how they feel about their body size, shape, and attributes such as skin color, hair texture, and facial features. </w:t>
      </w:r>
      <w:r w:rsidR="002D4524">
        <w:t xml:space="preserve">It encompasses how people see themselves in the mirror and how they believe others perceive them.  </w:t>
      </w:r>
      <w:r w:rsidR="006419D2">
        <w:t>Cultural</w:t>
      </w:r>
      <w:r>
        <w:t xml:space="preserve"> and societal norms, media representation, and personal experiences can influence body image. </w:t>
      </w:r>
    </w:p>
    <w:p w14:paraId="77448D1D" w14:textId="204B5D25" w:rsidR="009F3708" w:rsidRDefault="009F3708" w:rsidP="009F3708">
      <w:pPr>
        <w:pStyle w:val="ListParagraph"/>
        <w:jc w:val="both"/>
      </w:pPr>
    </w:p>
    <w:p w14:paraId="0D00F8B0" w14:textId="6A3794A2" w:rsidR="009F3708" w:rsidRDefault="006419D2" w:rsidP="009F3708">
      <w:pPr>
        <w:pStyle w:val="ListParagraph"/>
        <w:jc w:val="both"/>
      </w:pPr>
      <w:r>
        <w:t xml:space="preserve">On the other hand, self-concept </w:t>
      </w:r>
      <w:r w:rsidR="009F3708">
        <w:t>refers to an individual’s overall perception and evaluation of themselves, including their beliefs, values, abilities, and personality traits.</w:t>
      </w:r>
      <w:r w:rsidR="002D4524">
        <w:t xml:space="preserve"> It is a complex and multifaceted concept that is shaped by various factors. </w:t>
      </w:r>
      <w:r w:rsidR="009F3708">
        <w:t xml:space="preserve"> Various personal experiences, including achievements or setbacks, can shape self-concept.</w:t>
      </w:r>
    </w:p>
    <w:p w14:paraId="5B2ECE47" w14:textId="14528608" w:rsidR="009F3708" w:rsidRDefault="009F3708" w:rsidP="009F3708">
      <w:pPr>
        <w:pStyle w:val="ListParagraph"/>
        <w:jc w:val="both"/>
      </w:pPr>
    </w:p>
    <w:p w14:paraId="5A810B39" w14:textId="50F5B89B" w:rsidR="009F3708" w:rsidRDefault="009F3708" w:rsidP="009F3708">
      <w:pPr>
        <w:pStyle w:val="ListParagraph"/>
        <w:jc w:val="both"/>
      </w:pPr>
      <w:r>
        <w:lastRenderedPageBreak/>
        <w:t>Both body image and self-concept are essential aspects of an individual’s overall sense of self and well-being. A positive body image and self-concept can increase confidence, self-esteem, and overall life satisfaction. In contrast, a negative body image and self-concept can lead to feelings of anxiety, depression, and low self-esteem.</w:t>
      </w:r>
    </w:p>
    <w:p w14:paraId="3E23F53F" w14:textId="77777777" w:rsidR="007E32D1" w:rsidRDefault="007E32D1" w:rsidP="007E32D1">
      <w:pPr>
        <w:pStyle w:val="ListParagraph"/>
      </w:pPr>
    </w:p>
    <w:p w14:paraId="048456BF" w14:textId="77777777" w:rsidR="007E32D1" w:rsidRDefault="007E32D1" w:rsidP="007E32D1">
      <w:pPr>
        <w:jc w:val="both"/>
      </w:pPr>
    </w:p>
    <w:p w14:paraId="64008B9E" w14:textId="1FAFD667" w:rsidR="007E32D1" w:rsidRDefault="007E32D1" w:rsidP="00735A01">
      <w:pPr>
        <w:pStyle w:val="ListParagraph"/>
        <w:numPr>
          <w:ilvl w:val="0"/>
          <w:numId w:val="4"/>
        </w:numPr>
        <w:jc w:val="both"/>
      </w:pPr>
      <w:r>
        <w:t xml:space="preserve">Describe the potential impact of ostomy surgery </w:t>
      </w:r>
      <w:r w:rsidR="00593413">
        <w:t>on</w:t>
      </w:r>
      <w:r>
        <w:t xml:space="preserve"> body image, self-concept, and sexuality for men and women. </w:t>
      </w:r>
    </w:p>
    <w:p w14:paraId="6B0AEDCF" w14:textId="635CD8D5" w:rsidR="008546F0" w:rsidRDefault="008546F0" w:rsidP="002D4524">
      <w:pPr>
        <w:ind w:left="720"/>
        <w:jc w:val="both"/>
      </w:pPr>
      <w:r>
        <w:t xml:space="preserve">The potential impact of ostomy surgery on body image can be </w:t>
      </w:r>
      <w:r w:rsidR="00246FBE">
        <w:t>significant</w:t>
      </w:r>
      <w:r>
        <w:t xml:space="preserve">. For many people, having an ostomy bag attached to their abdomen </w:t>
      </w:r>
      <w:r w:rsidR="00704C6C">
        <w:t xml:space="preserve">can be a constant reminder of their illness or condition. This can lead to embarrassment, shame, and self-consciousness that can be difficult to overcome. </w:t>
      </w:r>
    </w:p>
    <w:p w14:paraId="75F91249" w14:textId="2E576D5A" w:rsidR="002D4524" w:rsidRDefault="002D4524" w:rsidP="002D4524">
      <w:pPr>
        <w:ind w:left="720"/>
        <w:jc w:val="both"/>
      </w:pPr>
      <w:r>
        <w:t xml:space="preserve">Ostomy surgery can have a significant impact on one’s self-concept. For many patients, the creation of a stoma can be </w:t>
      </w:r>
      <w:r w:rsidR="002073E8">
        <w:t xml:space="preserve">a </w:t>
      </w:r>
      <w:r>
        <w:t xml:space="preserve">shocking and life-changing event that may lead to feelings of loss, grief, and confusion. Patients may also experience anxiety, depression, and a sense of isolation as they adjust to their new way of life. </w:t>
      </w:r>
      <w:r w:rsidR="002073E8">
        <w:t>Managing the ostomy pouch and adapting</w:t>
      </w:r>
      <w:r>
        <w:t xml:space="preserve"> to new routines can also be challenging.  </w:t>
      </w:r>
    </w:p>
    <w:p w14:paraId="0940581E" w14:textId="779075DE" w:rsidR="002D4524" w:rsidRDefault="002D4524" w:rsidP="002D4524">
      <w:pPr>
        <w:ind w:left="720"/>
        <w:jc w:val="both"/>
      </w:pPr>
      <w:r>
        <w:t xml:space="preserve">Undergoing ostomy surgery can have a significant impact on one’s body image. The creation of a stoma can lead to feelings of embarrassment, shame, and insecurity. </w:t>
      </w:r>
      <w:r w:rsidR="00EA6118">
        <w:t>Patients may feel self-conscious about their appearance and worry about how others perceive them.</w:t>
      </w:r>
    </w:p>
    <w:p w14:paraId="384984B4" w14:textId="7206D63C" w:rsidR="00704C6C" w:rsidRDefault="00704C6C" w:rsidP="002D4524">
      <w:pPr>
        <w:ind w:left="720"/>
        <w:jc w:val="both"/>
      </w:pPr>
      <w:r>
        <w:t>Stoma formation can have an impact on a patient’s sexuality. The stoma can alter the patient’s physical appearance, which can lead to a loss of self-esteem and confidence in sexual situations.</w:t>
      </w:r>
      <w:r w:rsidR="006D5E43">
        <w:t xml:space="preserve"> Research shows that many people with ostomies experience sexual dysfunction and that many health care providers </w:t>
      </w:r>
      <w:r w:rsidR="00246FBE">
        <w:t>do not</w:t>
      </w:r>
      <w:r w:rsidR="006D5E43">
        <w:t xml:space="preserve"> bring up the topic (Carmel &amp; </w:t>
      </w:r>
      <w:proofErr w:type="spellStart"/>
      <w:r w:rsidR="006D5E43">
        <w:t>Scardillo</w:t>
      </w:r>
      <w:proofErr w:type="spellEnd"/>
      <w:r w:rsidR="006D5E43">
        <w:t xml:space="preserve">, 2022). Healthcare providers and the WOC nurse should </w:t>
      </w:r>
      <w:r w:rsidR="008B1223">
        <w:t>educate</w:t>
      </w:r>
      <w:r w:rsidR="006D5E43">
        <w:t xml:space="preserve"> patients </w:t>
      </w:r>
      <w:r w:rsidR="003B44BA">
        <w:t xml:space="preserve">about the potential physical and emotional changes after the surgery. This can include guidance on sexual positions that may be more comfortable for the patient, as well as advice on how to manage any physical changes that may have occurred as a result of the surgery. Open communication between patients and their healthcare providers is crucial in addressing any concerns or questions the patient may have about their intimate life. It is </w:t>
      </w:r>
      <w:r w:rsidR="00246FBE">
        <w:t>vital</w:t>
      </w:r>
      <w:r w:rsidR="003B44BA">
        <w:t xml:space="preserve"> for patients to feel comfortable discussing these matters and for providers to be proactive in initiating these conversations. </w:t>
      </w:r>
    </w:p>
    <w:p w14:paraId="5F05F960" w14:textId="1897E67C" w:rsidR="008B1223" w:rsidRDefault="008B1223" w:rsidP="008B1223">
      <w:pPr>
        <w:ind w:left="720"/>
        <w:jc w:val="both"/>
      </w:pPr>
      <w:r>
        <w:t>Aside from common reactions to ostomy surgery, mental factors can also contribute to sexual dysfunction. In women, this is manifested by hyposexuality, vaginal dryness</w:t>
      </w:r>
      <w:r w:rsidR="00246FBE">
        <w:t>,</w:t>
      </w:r>
      <w:r>
        <w:t xml:space="preserve"> and soreness during intercourse, while </w:t>
      </w:r>
      <w:r w:rsidR="00246FBE">
        <w:t xml:space="preserve">in </w:t>
      </w:r>
      <w:r>
        <w:t>men</w:t>
      </w:r>
      <w:r w:rsidR="00246FBE">
        <w:t>,</w:t>
      </w:r>
      <w:r>
        <w:t xml:space="preserve"> it is manifested by erectile dysfunction, retrograde ejaculation or lack thereof (</w:t>
      </w:r>
      <w:proofErr w:type="spellStart"/>
      <w:r>
        <w:t>Paszynska</w:t>
      </w:r>
      <w:proofErr w:type="spellEnd"/>
      <w:r>
        <w:t xml:space="preserve"> et al., 2023). </w:t>
      </w:r>
      <w:r w:rsidR="00246FBE">
        <w:t xml:space="preserve"> Patients need to communicate</w:t>
      </w:r>
      <w:r>
        <w:t xml:space="preserve"> their concerns with their </w:t>
      </w:r>
      <w:r w:rsidR="00246FBE">
        <w:t>partners</w:t>
      </w:r>
      <w:r>
        <w:t xml:space="preserve">. </w:t>
      </w:r>
      <w:r w:rsidR="00F130BF">
        <w:t>This can help reduce anxiety and promote intimacy and understanding. Patients should not feel ashamed or embarrassed about their condition, as it is a normal part of their recovery process.</w:t>
      </w:r>
    </w:p>
    <w:p w14:paraId="6CF9E2A8" w14:textId="2749C522" w:rsidR="00704C6C" w:rsidRDefault="00704C6C" w:rsidP="002D4524">
      <w:pPr>
        <w:ind w:left="720"/>
        <w:jc w:val="both"/>
      </w:pPr>
      <w:r>
        <w:lastRenderedPageBreak/>
        <w:t xml:space="preserve">It is </w:t>
      </w:r>
      <w:r w:rsidR="00F130BF">
        <w:t>essential</w:t>
      </w:r>
      <w:r>
        <w:t xml:space="preserve"> to recognize that these feelings are normal and valid and </w:t>
      </w:r>
      <w:r w:rsidR="00F130BF">
        <w:t>seek</w:t>
      </w:r>
      <w:r>
        <w:t xml:space="preserve"> support and resources to help manage them. This can include talking with a mental health professional, connecting with others who have undergone ostomy surgery, and exploring options for clothing and accessories that can help make the ostomy bag less noticeable. </w:t>
      </w:r>
    </w:p>
    <w:p w14:paraId="2AAD5046" w14:textId="77777777" w:rsidR="00EA6118" w:rsidRDefault="00EA6118" w:rsidP="002D4524">
      <w:pPr>
        <w:ind w:left="720"/>
        <w:jc w:val="both"/>
      </w:pPr>
    </w:p>
    <w:p w14:paraId="03F90904" w14:textId="77777777" w:rsidR="007E32D1" w:rsidRDefault="007E32D1" w:rsidP="007E32D1">
      <w:pPr>
        <w:jc w:val="both"/>
      </w:pPr>
    </w:p>
    <w:p w14:paraId="03DB7F0D" w14:textId="77777777" w:rsidR="007E32D1" w:rsidRDefault="007E32D1" w:rsidP="00735A01">
      <w:pPr>
        <w:pStyle w:val="ListParagraph"/>
        <w:numPr>
          <w:ilvl w:val="0"/>
          <w:numId w:val="4"/>
        </w:numPr>
        <w:jc w:val="both"/>
      </w:pPr>
      <w:r>
        <w:t xml:space="preserve">Identify safe sex considerations that should be taught to the person with an ostomy. </w:t>
      </w:r>
    </w:p>
    <w:p w14:paraId="326D91B1" w14:textId="77777777" w:rsidR="000B02C8" w:rsidRDefault="000B02C8" w:rsidP="000B02C8">
      <w:pPr>
        <w:pStyle w:val="ListParagraph"/>
        <w:jc w:val="both"/>
      </w:pPr>
    </w:p>
    <w:p w14:paraId="6318B509" w14:textId="79B54A62" w:rsidR="00F130BF" w:rsidRDefault="00F130BF" w:rsidP="0022671A">
      <w:pPr>
        <w:pStyle w:val="ListParagraph"/>
        <w:jc w:val="both"/>
      </w:pPr>
      <w:r>
        <w:t xml:space="preserve">Having an ostomy can impact intimacy for people with ostomies. It is possible to continue having a healthy sex life </w:t>
      </w:r>
      <w:r w:rsidR="000B02C8">
        <w:t xml:space="preserve">with an ostomy. It may require adjustments, such as finding a comfortable position, protecting the stoma, and using an ostomy pouch cover. With patience and understanding, intimacy can still be a fulfilling experience. </w:t>
      </w:r>
      <w:r w:rsidR="00B80062">
        <w:t xml:space="preserve">Having an ostomy does not define a person or limit their abilities. </w:t>
      </w:r>
      <w:r w:rsidR="0014678D">
        <w:t xml:space="preserve">The Colorectal Cancer Alliance offers helpful tips for maintaining intimacy and sexual health for those affected by ostomies. Open communication with partners, exploring different positions for comfort, using lubricants, and taking breaks when needed. </w:t>
      </w:r>
      <w:r w:rsidR="00B80062">
        <w:t xml:space="preserve">Women should be informed that contraceptive pills may be less effective. The birth control pills may not be absorbed with loose ileostomy effluent (Carmel &amp; </w:t>
      </w:r>
      <w:proofErr w:type="spellStart"/>
      <w:r w:rsidR="0022671A">
        <w:t>Scardillo</w:t>
      </w:r>
      <w:proofErr w:type="spellEnd"/>
      <w:r w:rsidR="00B80062">
        <w:t xml:space="preserve">, 2022). </w:t>
      </w:r>
      <w:r w:rsidR="00004EB0">
        <w:t xml:space="preserve">The patient should discuss with their healthcare provider other birth control methods. Some men find that wearing a cummerbund or waistband around their midsection can be helpful to prevent their pouch from flapping or moving around. An inability to have an erection or maintain it should be discussed with the appropriate healthcare provider. </w:t>
      </w:r>
      <w:r w:rsidR="0014678D">
        <w:t>Intimacy is a natural and vital part of life; there are ways to maintain it even after ostomy surgery.</w:t>
      </w:r>
    </w:p>
    <w:p w14:paraId="71389A4B" w14:textId="77777777" w:rsidR="007E32D1" w:rsidRDefault="007E32D1" w:rsidP="007E32D1">
      <w:pPr>
        <w:jc w:val="both"/>
      </w:pPr>
    </w:p>
    <w:p w14:paraId="23841227" w14:textId="77777777" w:rsidR="007E32D1" w:rsidRDefault="007E32D1" w:rsidP="007E32D1">
      <w:pPr>
        <w:pStyle w:val="ListParagraph"/>
        <w:numPr>
          <w:ilvl w:val="0"/>
          <w:numId w:val="4"/>
        </w:numPr>
        <w:jc w:val="both"/>
      </w:pPr>
      <w:r>
        <w:t xml:space="preserve">Describe how each of the following categories can help to promote a healthy body image for the person with an ostomy. Be sure to include at least one example for each category. </w:t>
      </w:r>
    </w:p>
    <w:p w14:paraId="17CDADAD" w14:textId="77777777" w:rsidR="00C3580F" w:rsidRDefault="00C3580F" w:rsidP="00C3580F">
      <w:pPr>
        <w:pStyle w:val="ListParagraph"/>
        <w:jc w:val="both"/>
      </w:pPr>
    </w:p>
    <w:p w14:paraId="504AF47F" w14:textId="0D34E4FA" w:rsidR="00C3580F" w:rsidRDefault="00C3580F" w:rsidP="00C3580F">
      <w:pPr>
        <w:pStyle w:val="ListParagraph"/>
        <w:jc w:val="both"/>
      </w:pPr>
      <w:r>
        <w:t xml:space="preserve">The United Ostomy Association offers a practical guide with helpful hints and tips for managing an ostomy. The guide covers various topics, including odor control, wearing undergarments, and pouch modifications. </w:t>
      </w:r>
      <w:r w:rsidR="00802AA8">
        <w:t xml:space="preserve">It is an excellent resource for individuals with an ostomy. By following the suggestions and recommendations in the guide, individuals with an ostomy can improve their quality of life and enjoy a more comfortable and fulfilling life. </w:t>
      </w:r>
    </w:p>
    <w:p w14:paraId="78E6730F" w14:textId="77777777" w:rsidR="00802AA8" w:rsidRDefault="00802AA8" w:rsidP="00C3580F">
      <w:pPr>
        <w:pStyle w:val="ListParagraph"/>
        <w:jc w:val="both"/>
      </w:pPr>
    </w:p>
    <w:p w14:paraId="30105951" w14:textId="0DE94F81" w:rsidR="000F7005" w:rsidRDefault="007E32D1" w:rsidP="000F7005">
      <w:pPr>
        <w:pStyle w:val="ListParagraph"/>
        <w:numPr>
          <w:ilvl w:val="1"/>
          <w:numId w:val="4"/>
        </w:numPr>
        <w:jc w:val="both"/>
      </w:pPr>
      <w:r>
        <w:t xml:space="preserve">Undergarments </w:t>
      </w:r>
      <w:r w:rsidR="000F7005">
        <w:t xml:space="preserve">– Wearing undergarments specifically designed for ostomy patients can be a helpful way to promote a healthy body image. These undergarments are designed to provide both comfort and security while also helping to conceal the ostomy pouch and minimize bulges or visible lines. Some undergarments are also intended to provide additional support for the abdominal </w:t>
      </w:r>
      <w:r w:rsidR="000F7005">
        <w:lastRenderedPageBreak/>
        <w:t xml:space="preserve">muscles, which can benefit individuals recovering from surgery. By wearing the proper undergarments, individuals with an ostomy can feel more confident and comfortable daily.  </w:t>
      </w:r>
    </w:p>
    <w:p w14:paraId="517D80A6" w14:textId="77777777" w:rsidR="000F7005" w:rsidRDefault="000F7005" w:rsidP="000F7005">
      <w:pPr>
        <w:pStyle w:val="ListParagraph"/>
        <w:ind w:left="1440"/>
        <w:jc w:val="both"/>
      </w:pPr>
    </w:p>
    <w:p w14:paraId="3926F732" w14:textId="619BB2B2" w:rsidR="00C3580F" w:rsidRDefault="000F7005" w:rsidP="00C3580F">
      <w:pPr>
        <w:pStyle w:val="ListParagraph"/>
        <w:numPr>
          <w:ilvl w:val="1"/>
          <w:numId w:val="4"/>
        </w:numPr>
        <w:jc w:val="both"/>
      </w:pPr>
      <w:r>
        <w:t xml:space="preserve">Odor control is critical to managing an ostomy and promoting a healthy body image. </w:t>
      </w:r>
      <w:r w:rsidR="00C3580F">
        <w:t>Various odor-control products</w:t>
      </w:r>
      <w:r w:rsidR="00B80062">
        <w:t>, including pouch deodorants, air fresheners, and odor-proof disposal pouches, are available</w:t>
      </w:r>
      <w:r w:rsidR="00C3580F">
        <w:t>. Finding the right odor-control solution that works best for everyone’s needs. By effectively managing odors, individuals with an ostomy can feel more comfortable and confident in social situations.</w:t>
      </w:r>
    </w:p>
    <w:p w14:paraId="7EE812F0" w14:textId="77777777" w:rsidR="00C3580F" w:rsidRDefault="00C3580F" w:rsidP="00C3580F">
      <w:pPr>
        <w:pStyle w:val="ListParagraph"/>
      </w:pPr>
    </w:p>
    <w:p w14:paraId="14BBACFD" w14:textId="3CFB2953" w:rsidR="00C3580F" w:rsidRDefault="00C3580F" w:rsidP="00C3580F">
      <w:pPr>
        <w:pStyle w:val="ListParagraph"/>
        <w:numPr>
          <w:ilvl w:val="1"/>
          <w:numId w:val="4"/>
        </w:numPr>
        <w:jc w:val="both"/>
      </w:pPr>
      <w:r>
        <w:t xml:space="preserve">Pouch Modification – Modifying an ostomy pouch to suit an individual’s needs better can be a helpful way to promote a healthy body image. Some modifications may include adding a filter to reduce odor, adjusting the size or shape of the pouch for added comfort, or using a custom cover to conceal the pouch and make it less noticeable. Individuals with an ostomy can feel more confident in their daily lives by making these modifications. </w:t>
      </w:r>
    </w:p>
    <w:p w14:paraId="1E8D5F4F" w14:textId="77777777" w:rsidR="007E32D1" w:rsidRDefault="007E32D1" w:rsidP="007E32D1">
      <w:pPr>
        <w:jc w:val="both"/>
      </w:pPr>
    </w:p>
    <w:p w14:paraId="308E260D" w14:textId="77777777" w:rsidR="007E32D1" w:rsidRDefault="007E32D1" w:rsidP="007E32D1">
      <w:pPr>
        <w:pStyle w:val="ListParagraph"/>
        <w:numPr>
          <w:ilvl w:val="0"/>
          <w:numId w:val="4"/>
        </w:numPr>
        <w:jc w:val="both"/>
      </w:pPr>
      <w:r>
        <w:t xml:space="preserve">Explain how the PLISSIT model guides the conversation on sexual intimacy. </w:t>
      </w:r>
    </w:p>
    <w:p w14:paraId="58569E15" w14:textId="2A864599" w:rsidR="007E32D1" w:rsidRDefault="00593413" w:rsidP="00593413">
      <w:pPr>
        <w:ind w:left="360"/>
        <w:jc w:val="both"/>
      </w:pPr>
      <w:r>
        <w:t xml:space="preserve">The PLISSIT model is a framework that can be used to guide conversations about sexual intimacy. </w:t>
      </w:r>
      <w:r w:rsidR="00EF627A">
        <w:t xml:space="preserve">It is thought </w:t>
      </w:r>
      <w:r w:rsidR="00A72C87">
        <w:t xml:space="preserve">that an intervention plan prepared within the framework of the PLISSIT model will guide nurses in solving sexual problems of individuals with stoma and providing integrated </w:t>
      </w:r>
      <w:proofErr w:type="gramStart"/>
      <w:r w:rsidR="00A72C87">
        <w:t>care</w:t>
      </w:r>
      <w:r w:rsidR="00E57F32">
        <w:t>,</w:t>
      </w:r>
      <w:r w:rsidR="00A72C87">
        <w:t xml:space="preserve"> and</w:t>
      </w:r>
      <w:proofErr w:type="gramEnd"/>
      <w:r w:rsidR="00A72C87">
        <w:t xml:space="preserve"> </w:t>
      </w:r>
      <w:r w:rsidR="00E57F32">
        <w:t>helping</w:t>
      </w:r>
      <w:r w:rsidR="00A72C87">
        <w:t xml:space="preserve"> individuals to express their sexual problems (Ayaz &amp; </w:t>
      </w:r>
      <w:proofErr w:type="spellStart"/>
      <w:r w:rsidR="00A72C87">
        <w:t>Kubilay</w:t>
      </w:r>
      <w:proofErr w:type="spellEnd"/>
      <w:r w:rsidR="00A72C87">
        <w:t xml:space="preserve">, 2008). </w:t>
      </w:r>
      <w:r>
        <w:t xml:space="preserve">The model stands for Permission, Limited Information, Specific Suggestions, and Intensive Therapy. </w:t>
      </w:r>
    </w:p>
    <w:p w14:paraId="6474E0F7" w14:textId="56742793" w:rsidR="00593413" w:rsidRDefault="00593413" w:rsidP="00593413">
      <w:pPr>
        <w:ind w:left="360"/>
        <w:jc w:val="both"/>
      </w:pPr>
      <w:r>
        <w:t>The model suggests that the conversation should start by granting permission to discuss sexuality and intimacy, creating a safe and non-judgmental space for the discussion. This can help to reduce anxiety and encourage open communication.</w:t>
      </w:r>
    </w:p>
    <w:p w14:paraId="6227D589" w14:textId="00E77DD9" w:rsidR="00593413" w:rsidRDefault="00593413" w:rsidP="00593413">
      <w:pPr>
        <w:ind w:left="360"/>
        <w:jc w:val="both"/>
      </w:pPr>
      <w:r>
        <w:t xml:space="preserve">Limited information can be provided to address any concerns or questions. This information should be tailored to the individual’s specific needs and level of understanding. </w:t>
      </w:r>
    </w:p>
    <w:p w14:paraId="0F50975A" w14:textId="33729DE2" w:rsidR="00593413" w:rsidRDefault="00593413" w:rsidP="00593413">
      <w:pPr>
        <w:ind w:left="360"/>
        <w:jc w:val="both"/>
      </w:pPr>
      <w:r>
        <w:t>Specific suggestions can be made to address any issues identified during the conversation. These suggestions may include behavioral changes or referrals to specialists who can help.</w:t>
      </w:r>
    </w:p>
    <w:p w14:paraId="0CA1D89C" w14:textId="2E540F2D" w:rsidR="00593413" w:rsidRDefault="00593413" w:rsidP="00593413">
      <w:pPr>
        <w:ind w:left="360"/>
        <w:jc w:val="both"/>
      </w:pPr>
      <w:r>
        <w:t xml:space="preserve">Intensive therapy may be recommended for individuals who require more in-depth and specialized support. </w:t>
      </w:r>
    </w:p>
    <w:p w14:paraId="794268B4" w14:textId="34E2B9BD" w:rsidR="00593413" w:rsidRDefault="00593413" w:rsidP="00593413">
      <w:pPr>
        <w:ind w:left="360"/>
        <w:jc w:val="both"/>
      </w:pPr>
      <w:r>
        <w:t xml:space="preserve">Overall, the PLISSIT model provides a </w:t>
      </w:r>
      <w:r w:rsidR="001F2D33">
        <w:t>helpful</w:t>
      </w:r>
      <w:r>
        <w:t xml:space="preserve"> framework for guiding conversations about sexual intimacy, especially in situations where individuals may be hesitant to discuss </w:t>
      </w:r>
      <w:r w:rsidR="001F2D33">
        <w:t>their concerns or may not know where to start.</w:t>
      </w:r>
    </w:p>
    <w:p w14:paraId="0DFB71E9" w14:textId="77777777" w:rsidR="007E32D1" w:rsidRDefault="007E32D1" w:rsidP="007E32D1">
      <w:pPr>
        <w:jc w:val="both"/>
      </w:pPr>
    </w:p>
    <w:p w14:paraId="024DA8CD" w14:textId="77777777" w:rsidR="007E32D1" w:rsidRDefault="007E32D1" w:rsidP="007E32D1">
      <w:pPr>
        <w:pStyle w:val="ListParagraph"/>
        <w:numPr>
          <w:ilvl w:val="0"/>
          <w:numId w:val="4"/>
        </w:numPr>
        <w:jc w:val="both"/>
      </w:pPr>
      <w:r>
        <w:t xml:space="preserve">List the references used to develop and cite this assignment. </w:t>
      </w:r>
    </w:p>
    <w:p w14:paraId="785179F1" w14:textId="71AF2A17" w:rsidR="00B40FA0" w:rsidRDefault="0022671A" w:rsidP="00777E46">
      <w:pPr>
        <w:jc w:val="both"/>
      </w:pPr>
      <w:r>
        <w:t xml:space="preserve">Carmel, J. &amp; </w:t>
      </w:r>
      <w:proofErr w:type="spellStart"/>
      <w:r>
        <w:t>Scardillo</w:t>
      </w:r>
      <w:proofErr w:type="spellEnd"/>
      <w:r>
        <w:t>, J. (2022). Adaptations, Rehabilitation, and Long-Term Care Management Issues</w:t>
      </w:r>
      <w:r w:rsidR="00EF627A">
        <w:t xml:space="preserve">. In J. Carmel, J. Colwell &amp; M. Goldberg (Eds.). </w:t>
      </w:r>
      <w:r w:rsidR="00EF627A" w:rsidRPr="00EF627A">
        <w:rPr>
          <w:i/>
          <w:iCs/>
        </w:rPr>
        <w:t>Wound, Ostomy, and Continence Nurses Society core curriculum: Ostomy management</w:t>
      </w:r>
      <w:r w:rsidR="00EF627A">
        <w:t xml:space="preserve"> (2</w:t>
      </w:r>
      <w:r w:rsidR="00EF627A" w:rsidRPr="00EF627A">
        <w:rPr>
          <w:vertAlign w:val="superscript"/>
        </w:rPr>
        <w:t>nd</w:t>
      </w:r>
      <w:r w:rsidR="00EF627A">
        <w:t xml:space="preserve"> ed., pp 212 &amp; 214). Wolters Kluwer.</w:t>
      </w:r>
    </w:p>
    <w:p w14:paraId="2EA6C445" w14:textId="53C3324E" w:rsidR="00EF627A" w:rsidRDefault="00EF627A" w:rsidP="00777E46">
      <w:pPr>
        <w:jc w:val="both"/>
      </w:pPr>
      <w:proofErr w:type="spellStart"/>
      <w:r>
        <w:t>Paszynska</w:t>
      </w:r>
      <w:proofErr w:type="spellEnd"/>
      <w:r>
        <w:t xml:space="preserve">, W., </w:t>
      </w:r>
      <w:proofErr w:type="spellStart"/>
      <w:r>
        <w:t>Zborowska</w:t>
      </w:r>
      <w:proofErr w:type="spellEnd"/>
      <w:r>
        <w:t xml:space="preserve">, K., </w:t>
      </w:r>
      <w:proofErr w:type="spellStart"/>
      <w:r>
        <w:t>Czajkowska</w:t>
      </w:r>
      <w:proofErr w:type="spellEnd"/>
      <w:r>
        <w:t xml:space="preserve">, M., &amp; </w:t>
      </w:r>
      <w:proofErr w:type="spellStart"/>
      <w:r>
        <w:t>Skrzypulec-Plinta</w:t>
      </w:r>
      <w:proofErr w:type="spellEnd"/>
      <w:r>
        <w:t xml:space="preserve">, V. (2023). Quality of Sex Life in Intestinal Stoma Patients – A Literature Review. </w:t>
      </w:r>
      <w:r>
        <w:rPr>
          <w:i/>
          <w:iCs/>
        </w:rPr>
        <w:t>International Journal of Environmental Research and Public Health, 20</w:t>
      </w:r>
      <w:r>
        <w:t xml:space="preserve">(3). </w:t>
      </w:r>
      <w:hyperlink r:id="rId7" w:history="1">
        <w:r w:rsidRPr="003B1865">
          <w:rPr>
            <w:rStyle w:val="Hyperlink"/>
          </w:rPr>
          <w:t>https://doi.org/10.3390/ijerph20032660</w:t>
        </w:r>
      </w:hyperlink>
      <w:r>
        <w:t xml:space="preserve"> </w:t>
      </w:r>
    </w:p>
    <w:p w14:paraId="2FF4AE81" w14:textId="57D66F05" w:rsidR="00EF627A" w:rsidRDefault="00A72C87" w:rsidP="00777E46">
      <w:pPr>
        <w:jc w:val="both"/>
      </w:pPr>
      <w:r>
        <w:t xml:space="preserve">Ayaz, S., &amp; </w:t>
      </w:r>
      <w:proofErr w:type="spellStart"/>
      <w:r>
        <w:t>Kubilay</w:t>
      </w:r>
      <w:proofErr w:type="spellEnd"/>
      <w:r>
        <w:t xml:space="preserve">, G. (2008). Effectiveness of the PLISSIT model for solving the sexual problems with stoma. </w:t>
      </w:r>
      <w:r>
        <w:rPr>
          <w:i/>
          <w:iCs/>
        </w:rPr>
        <w:t xml:space="preserve">Journal of Clinical Nursing, </w:t>
      </w:r>
      <w:r w:rsidR="00E57F32">
        <w:rPr>
          <w:i/>
          <w:iCs/>
        </w:rPr>
        <w:t>18</w:t>
      </w:r>
      <w:r w:rsidR="00E57F32">
        <w:t xml:space="preserve">(1), 89-98. </w:t>
      </w:r>
      <w:hyperlink r:id="rId8" w:history="1">
        <w:r w:rsidR="00E57F32" w:rsidRPr="003B1865">
          <w:rPr>
            <w:rStyle w:val="Hyperlink"/>
          </w:rPr>
          <w:t>https://doi.org/10.111/j.1365-2702.2008.02282.x</w:t>
        </w:r>
      </w:hyperlink>
      <w:r w:rsidR="00E57F32">
        <w:t xml:space="preserve"> </w:t>
      </w:r>
    </w:p>
    <w:p w14:paraId="6DADCAEF" w14:textId="5D230B56" w:rsidR="00DB1D84" w:rsidRDefault="009510E6" w:rsidP="009510E6">
      <w:proofErr w:type="gramStart"/>
      <w:r>
        <w:t>Ahuja,.</w:t>
      </w:r>
      <w:proofErr w:type="gramEnd"/>
      <w:r>
        <w:t xml:space="preserve"> V. (2011). </w:t>
      </w:r>
      <w:r>
        <w:rPr>
          <w:i/>
          <w:iCs/>
        </w:rPr>
        <w:t xml:space="preserve">Hypogastric nerve. </w:t>
      </w:r>
      <w:r>
        <w:t xml:space="preserve">Hypogastric Nerve – an overview | ScienceDirect Topics. </w:t>
      </w:r>
      <w:hyperlink r:id="rId9" w:history="1">
        <w:r w:rsidRPr="003B1865">
          <w:rPr>
            <w:rStyle w:val="Hyperlink"/>
          </w:rPr>
          <w:t>https://www.sciencedirect.com/topics/neuroscience/hypogastric-nerve</w:t>
        </w:r>
      </w:hyperlink>
      <w:r>
        <w:t xml:space="preserve"> </w:t>
      </w:r>
    </w:p>
    <w:p w14:paraId="2C6EAE77" w14:textId="46023D86" w:rsidR="009510E6" w:rsidRDefault="009510E6" w:rsidP="009510E6">
      <w:r>
        <w:t xml:space="preserve">Cleveland Clinic. (n.d.). </w:t>
      </w:r>
      <w:hyperlink r:id="rId10" w:history="1">
        <w:r w:rsidRPr="003B1865">
          <w:rPr>
            <w:rStyle w:val="Hyperlink"/>
          </w:rPr>
          <w:t>https://my.clevelandclinic.org/health/body/22000-pudendal-nerve</w:t>
        </w:r>
      </w:hyperlink>
      <w:r>
        <w:t xml:space="preserve"> </w:t>
      </w:r>
    </w:p>
    <w:p w14:paraId="10F7387C" w14:textId="7EA9BDAA" w:rsidR="009510E6" w:rsidRPr="00EE2ED5" w:rsidRDefault="00EE2ED5" w:rsidP="009510E6">
      <w:proofErr w:type="spellStart"/>
      <w:r>
        <w:t>Ory</w:t>
      </w:r>
      <w:proofErr w:type="spellEnd"/>
      <w:r>
        <w:t xml:space="preserve">, C. (2018). </w:t>
      </w:r>
      <w:r>
        <w:rPr>
          <w:i/>
          <w:iCs/>
        </w:rPr>
        <w:t xml:space="preserve">Intimacy after </w:t>
      </w:r>
      <w:proofErr w:type="spellStart"/>
      <w:r>
        <w:rPr>
          <w:i/>
          <w:iCs/>
        </w:rPr>
        <w:t>syrgery</w:t>
      </w:r>
      <w:proofErr w:type="spellEnd"/>
      <w:r>
        <w:rPr>
          <w:i/>
          <w:iCs/>
        </w:rPr>
        <w:t xml:space="preserve"> guide. </w:t>
      </w:r>
      <w:r>
        <w:t xml:space="preserve">United Ostomy Associates of America, Inc. </w:t>
      </w:r>
      <w:hyperlink r:id="rId11" w:history="1">
        <w:r w:rsidRPr="003B1865">
          <w:rPr>
            <w:rStyle w:val="Hyperlink"/>
          </w:rPr>
          <w:t>https://ostomy.org/wp-content/uploads/2018/Intimacy-After-Ostomy-Surgery-Guide.pdf</w:t>
        </w:r>
      </w:hyperlink>
      <w:r>
        <w:t xml:space="preserve"> </w:t>
      </w:r>
    </w:p>
    <w:p w14:paraId="5FC40378" w14:textId="77777777" w:rsidR="00EF627A" w:rsidRPr="00EF627A" w:rsidRDefault="00EF627A" w:rsidP="00777E46">
      <w:pPr>
        <w:jc w:val="both"/>
      </w:pPr>
    </w:p>
    <w:p w14:paraId="475BB41E" w14:textId="77777777" w:rsidR="00EF627A" w:rsidRPr="00EF627A" w:rsidRDefault="00EF627A" w:rsidP="00777E46">
      <w:pPr>
        <w:jc w:val="both"/>
        <w:rPr>
          <w:i/>
          <w:iCs/>
        </w:rPr>
      </w:pPr>
    </w:p>
    <w:sectPr w:rsidR="00EF627A" w:rsidRPr="00EF627A" w:rsidSect="00B40FA0">
      <w:headerReference w:type="default"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83186" w14:textId="77777777" w:rsidR="00843908" w:rsidRDefault="00843908" w:rsidP="00B40FA0">
      <w:pPr>
        <w:spacing w:after="0" w:line="240" w:lineRule="auto"/>
      </w:pPr>
      <w:r>
        <w:separator/>
      </w:r>
    </w:p>
  </w:endnote>
  <w:endnote w:type="continuationSeparator" w:id="0">
    <w:p w14:paraId="6A16E4E6" w14:textId="77777777" w:rsidR="00843908" w:rsidRDefault="00843908" w:rsidP="00B40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1DA47" w14:textId="77777777" w:rsidR="00B332CF" w:rsidRDefault="00B332CF">
    <w:pPr>
      <w:pStyle w:val="Footer"/>
    </w:pPr>
    <w:r>
      <w:t>R.B. Turnbull, Jr. MD School of WOC Nursing Education</w:t>
    </w:r>
  </w:p>
  <w:p w14:paraId="635FC669" w14:textId="77777777" w:rsidR="00B332CF" w:rsidRDefault="00B33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16198" w14:textId="77777777" w:rsidR="00843908" w:rsidRDefault="00843908" w:rsidP="00B40FA0">
      <w:pPr>
        <w:spacing w:after="0" w:line="240" w:lineRule="auto"/>
      </w:pPr>
      <w:r>
        <w:separator/>
      </w:r>
    </w:p>
  </w:footnote>
  <w:footnote w:type="continuationSeparator" w:id="0">
    <w:p w14:paraId="4AD99B13" w14:textId="77777777" w:rsidR="00843908" w:rsidRDefault="00843908" w:rsidP="00B40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92CAD" w14:textId="77777777" w:rsidR="00B40FA0" w:rsidRDefault="00B332CF">
    <w:pPr>
      <w:pStyle w:val="Header"/>
      <w:rPr>
        <w:b/>
        <w:color w:val="000000" w:themeColor="text1"/>
      </w:rPr>
    </w:pPr>
    <w:r>
      <w:rPr>
        <w:noProof/>
      </w:rPr>
      <w:drawing>
        <wp:anchor distT="0" distB="0" distL="114300" distR="114300" simplePos="0" relativeHeight="251661312" behindDoc="1" locked="0" layoutInCell="1" allowOverlap="1" wp14:anchorId="3BADE172" wp14:editId="18AEB014">
          <wp:simplePos x="0" y="0"/>
          <wp:positionH relativeFrom="margin">
            <wp:align>right</wp:align>
          </wp:positionH>
          <wp:positionV relativeFrom="paragraph">
            <wp:posOffset>-198120</wp:posOffset>
          </wp:positionV>
          <wp:extent cx="1096010" cy="330200"/>
          <wp:effectExtent l="0" t="0" r="8890" b="0"/>
          <wp:wrapTight wrapText="bothSides">
            <wp:wrapPolygon edited="0">
              <wp:start x="0" y="0"/>
              <wp:lineTo x="0" y="19938"/>
              <wp:lineTo x="21400" y="19938"/>
              <wp:lineTo x="214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eve Clinic logo.JPG"/>
                  <pic:cNvPicPr/>
                </pic:nvPicPr>
                <pic:blipFill>
                  <a:blip r:embed="rId1">
                    <a:extLst>
                      <a:ext uri="{28A0092B-C50C-407E-A947-70E740481C1C}">
                        <a14:useLocalDpi xmlns:a14="http://schemas.microsoft.com/office/drawing/2010/main" val="0"/>
                      </a:ext>
                    </a:extLst>
                  </a:blip>
                  <a:stretch>
                    <a:fillRect/>
                  </a:stretch>
                </pic:blipFill>
                <pic:spPr>
                  <a:xfrm>
                    <a:off x="0" y="0"/>
                    <a:ext cx="1096010" cy="330200"/>
                  </a:xfrm>
                  <a:prstGeom prst="rect">
                    <a:avLst/>
                  </a:prstGeom>
                </pic:spPr>
              </pic:pic>
            </a:graphicData>
          </a:graphic>
          <wp14:sizeRelH relativeFrom="page">
            <wp14:pctWidth>0</wp14:pctWidth>
          </wp14:sizeRelH>
          <wp14:sizeRelV relativeFrom="page">
            <wp14:pctHeight>0</wp14:pctHeight>
          </wp14:sizeRelV>
        </wp:anchor>
      </w:drawing>
    </w:r>
    <w:sdt>
      <w:sdtPr>
        <w:id w:val="-450714576"/>
        <w:docPartObj>
          <w:docPartGallery w:val="Page Numbers (Margins)"/>
          <w:docPartUnique/>
        </w:docPartObj>
      </w:sdtPr>
      <w:sdtContent>
        <w:r w:rsidR="00436B53">
          <w:rPr>
            <w:noProof/>
          </w:rPr>
          <mc:AlternateContent>
            <mc:Choice Requires="wps">
              <w:drawing>
                <wp:anchor distT="0" distB="0" distL="114300" distR="114300" simplePos="0" relativeHeight="251659264" behindDoc="0" locked="0" layoutInCell="0" allowOverlap="1" wp14:anchorId="00A5A4B2" wp14:editId="6DABE155">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05B35" w14:textId="77777777" w:rsidR="00436B53" w:rsidRDefault="00436B5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7E32D1" w:rsidRPr="007E32D1">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0A5A4B2"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" o:allowincell="f" filled="f" stroked="f">
                  <v:textbox style="layout-flow:vertical;mso-layout-flow-alt:bottom-to-top;mso-fit-shape-to-text:t">
                    <w:txbxContent>
                      <w:p w14:paraId="75F05B35" w14:textId="77777777" w:rsidR="00436B53" w:rsidRDefault="00436B5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7E32D1" w:rsidRPr="007E32D1">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C77E4D">
      <w:rPr>
        <w:b/>
        <w:color w:val="000000" w:themeColor="text1"/>
      </w:rPr>
      <w:t>Body Image and Sexual Function for the Patient with an Ostomy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F582B"/>
    <w:multiLevelType w:val="hybridMultilevel"/>
    <w:tmpl w:val="796EE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C707C"/>
    <w:multiLevelType w:val="hybridMultilevel"/>
    <w:tmpl w:val="36826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3125E"/>
    <w:multiLevelType w:val="hybridMultilevel"/>
    <w:tmpl w:val="89BC9880"/>
    <w:lvl w:ilvl="0" w:tplc="85DE38A6">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6B0940"/>
    <w:multiLevelType w:val="hybridMultilevel"/>
    <w:tmpl w:val="9EC8F8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713211">
    <w:abstractNumId w:val="2"/>
  </w:num>
  <w:num w:numId="2" w16cid:durableId="1503279988">
    <w:abstractNumId w:val="1"/>
  </w:num>
  <w:num w:numId="3" w16cid:durableId="1493763865">
    <w:abstractNumId w:val="0"/>
  </w:num>
  <w:num w:numId="4" w16cid:durableId="800850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FA0"/>
    <w:rsid w:val="00004EB0"/>
    <w:rsid w:val="00022456"/>
    <w:rsid w:val="000B02C8"/>
    <w:rsid w:val="000F7005"/>
    <w:rsid w:val="0012222B"/>
    <w:rsid w:val="001434A6"/>
    <w:rsid w:val="0014678D"/>
    <w:rsid w:val="001502F6"/>
    <w:rsid w:val="001F2D33"/>
    <w:rsid w:val="002073E8"/>
    <w:rsid w:val="0022671A"/>
    <w:rsid w:val="00246FBE"/>
    <w:rsid w:val="002C77C2"/>
    <w:rsid w:val="002D4524"/>
    <w:rsid w:val="00347CB3"/>
    <w:rsid w:val="003A0E7E"/>
    <w:rsid w:val="003B44BA"/>
    <w:rsid w:val="003E4963"/>
    <w:rsid w:val="003E55FA"/>
    <w:rsid w:val="003E7D65"/>
    <w:rsid w:val="004001E0"/>
    <w:rsid w:val="00436B53"/>
    <w:rsid w:val="004454CB"/>
    <w:rsid w:val="00544A7B"/>
    <w:rsid w:val="00557C84"/>
    <w:rsid w:val="00593413"/>
    <w:rsid w:val="005B460B"/>
    <w:rsid w:val="005C0ABF"/>
    <w:rsid w:val="005C6EA5"/>
    <w:rsid w:val="006419D2"/>
    <w:rsid w:val="0069748D"/>
    <w:rsid w:val="006A2EC4"/>
    <w:rsid w:val="006B0FB3"/>
    <w:rsid w:val="006D5E43"/>
    <w:rsid w:val="00704C6C"/>
    <w:rsid w:val="00735A01"/>
    <w:rsid w:val="00777E46"/>
    <w:rsid w:val="00781358"/>
    <w:rsid w:val="007A6148"/>
    <w:rsid w:val="007C19F8"/>
    <w:rsid w:val="007E32D1"/>
    <w:rsid w:val="00802AA8"/>
    <w:rsid w:val="00843908"/>
    <w:rsid w:val="008546F0"/>
    <w:rsid w:val="008B1223"/>
    <w:rsid w:val="008F1277"/>
    <w:rsid w:val="00911936"/>
    <w:rsid w:val="009510E6"/>
    <w:rsid w:val="009B726E"/>
    <w:rsid w:val="009F3708"/>
    <w:rsid w:val="00A2339A"/>
    <w:rsid w:val="00A7142D"/>
    <w:rsid w:val="00A72C87"/>
    <w:rsid w:val="00AF5BEE"/>
    <w:rsid w:val="00B332CF"/>
    <w:rsid w:val="00B40FA0"/>
    <w:rsid w:val="00B80062"/>
    <w:rsid w:val="00B915F4"/>
    <w:rsid w:val="00BD2D4F"/>
    <w:rsid w:val="00C3580F"/>
    <w:rsid w:val="00C77E4D"/>
    <w:rsid w:val="00C83FFD"/>
    <w:rsid w:val="00DB1D84"/>
    <w:rsid w:val="00DE5E67"/>
    <w:rsid w:val="00E57F32"/>
    <w:rsid w:val="00EA6118"/>
    <w:rsid w:val="00EE2ED5"/>
    <w:rsid w:val="00EF4023"/>
    <w:rsid w:val="00EF627A"/>
    <w:rsid w:val="00F13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6CA23"/>
  <w15:chartTrackingRefBased/>
  <w15:docId w15:val="{34E72D5C-C4BE-4C50-9FB0-A1C9BBA4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0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0FA0"/>
    <w:pPr>
      <w:ind w:left="720"/>
      <w:contextualSpacing/>
    </w:pPr>
  </w:style>
  <w:style w:type="paragraph" w:styleId="Header">
    <w:name w:val="header"/>
    <w:basedOn w:val="Normal"/>
    <w:link w:val="HeaderChar"/>
    <w:uiPriority w:val="99"/>
    <w:unhideWhenUsed/>
    <w:rsid w:val="00B40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FA0"/>
  </w:style>
  <w:style w:type="paragraph" w:styleId="Footer">
    <w:name w:val="footer"/>
    <w:basedOn w:val="Normal"/>
    <w:link w:val="FooterChar"/>
    <w:uiPriority w:val="99"/>
    <w:unhideWhenUsed/>
    <w:rsid w:val="00B40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FA0"/>
  </w:style>
  <w:style w:type="character" w:styleId="Hyperlink">
    <w:name w:val="Hyperlink"/>
    <w:basedOn w:val="DefaultParagraphFont"/>
    <w:uiPriority w:val="99"/>
    <w:unhideWhenUsed/>
    <w:rsid w:val="00EF627A"/>
    <w:rPr>
      <w:color w:val="0563C1" w:themeColor="hyperlink"/>
      <w:u w:val="single"/>
    </w:rPr>
  </w:style>
  <w:style w:type="character" w:styleId="UnresolvedMention">
    <w:name w:val="Unresolved Mention"/>
    <w:basedOn w:val="DefaultParagraphFont"/>
    <w:uiPriority w:val="99"/>
    <w:semiHidden/>
    <w:unhideWhenUsed/>
    <w:rsid w:val="00EF6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j.1365-2702.2008.02282.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3390/ijerph2003266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tomy.org/wp-content/uploads/2018/Intimacy-After-Ostomy-Surgery-Guide.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y.clevelandclinic.org/health/body/22000-pudendal-nerve" TargetMode="External"/><Relationship Id="rId4" Type="http://schemas.openxmlformats.org/officeDocument/2006/relationships/webSettings" Target="webSettings.xml"/><Relationship Id="rId9" Type="http://schemas.openxmlformats.org/officeDocument/2006/relationships/hyperlink" Target="https://www.sciencedirect.com/topics/neuroscience/hypogastric-nerv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2133</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Cleveland Clinic</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Stricker, Linda</dc:creator>
  <cp:keywords/>
  <dc:description/>
  <cp:lastModifiedBy>mzramirez813@gmail.com</cp:lastModifiedBy>
  <cp:revision>26</cp:revision>
  <cp:lastPrinted>2023-10-30T00:22:00Z</cp:lastPrinted>
  <dcterms:created xsi:type="dcterms:W3CDTF">2023-10-30T03:38:00Z</dcterms:created>
  <dcterms:modified xsi:type="dcterms:W3CDTF">2023-10-30T03:51:00Z</dcterms:modified>
</cp:coreProperties>
</file>