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CDD2E" w14:textId="77777777" w:rsidR="00735A01" w:rsidRDefault="00735A01" w:rsidP="00735A01">
      <w:pPr>
        <w:pStyle w:val="Header"/>
        <w:rPr>
          <w:b/>
          <w:color w:val="000000" w:themeColor="text1"/>
        </w:rPr>
      </w:pPr>
    </w:p>
    <w:p w14:paraId="758E1BB4" w14:textId="77777777" w:rsidR="00735A01" w:rsidRDefault="00735A01" w:rsidP="00735A01">
      <w:pPr>
        <w:pStyle w:val="Header"/>
      </w:pPr>
      <w:r>
        <w:rPr>
          <w:b/>
          <w:color w:val="000000" w:themeColor="text1"/>
        </w:rPr>
        <w:t>Name: ___________________________________________________</w:t>
      </w:r>
    </w:p>
    <w:p w14:paraId="67C9BB1B" w14:textId="77777777" w:rsidR="00735A01" w:rsidRDefault="00735A01" w:rsidP="009B726E">
      <w:pPr>
        <w:jc w:val="both"/>
        <w:rPr>
          <w:b/>
          <w:color w:val="000000" w:themeColor="text1"/>
        </w:rPr>
      </w:pPr>
    </w:p>
    <w:p w14:paraId="411BD83F" w14:textId="77777777" w:rsidR="00735A01" w:rsidRDefault="00735A01" w:rsidP="009B726E">
      <w:pPr>
        <w:jc w:val="both"/>
        <w:rPr>
          <w:b/>
          <w:color w:val="000000" w:themeColor="text1"/>
        </w:rPr>
      </w:pPr>
      <w:r>
        <w:rPr>
          <w:b/>
          <w:color w:val="000000" w:themeColor="text1"/>
        </w:rPr>
        <w:t>Point criteria</w:t>
      </w:r>
    </w:p>
    <w:tbl>
      <w:tblPr>
        <w:tblW w:w="5085"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590"/>
        <w:gridCol w:w="2590"/>
        <w:gridCol w:w="2590"/>
        <w:gridCol w:w="2590"/>
        <w:gridCol w:w="2810"/>
      </w:tblGrid>
      <w:tr w:rsidR="00735A01" w:rsidRPr="00FC38C4" w14:paraId="4217C55E" w14:textId="77777777" w:rsidTr="00017608">
        <w:trPr>
          <w:tblHeader/>
          <w:tblCellSpacing w:w="0" w:type="dxa"/>
          <w:jc w:val="center"/>
        </w:trPr>
        <w:tc>
          <w:tcPr>
            <w:tcW w:w="983" w:type="pct"/>
            <w:shd w:val="clear" w:color="auto" w:fill="EFE7D8"/>
            <w:vAlign w:val="center"/>
          </w:tcPr>
          <w:p w14:paraId="6443AFC4" w14:textId="77777777" w:rsidR="00735A01" w:rsidRPr="00FC38C4" w:rsidRDefault="00735A01" w:rsidP="00017608">
            <w:pPr>
              <w:jc w:val="center"/>
              <w:rPr>
                <w:b/>
                <w:bCs/>
                <w:sz w:val="20"/>
                <w:szCs w:val="20"/>
              </w:rPr>
            </w:pPr>
            <w:r w:rsidRPr="00FC38C4">
              <w:rPr>
                <w:b/>
                <w:bCs/>
                <w:sz w:val="20"/>
                <w:szCs w:val="20"/>
              </w:rPr>
              <w:t>Criteria</w:t>
            </w:r>
          </w:p>
        </w:tc>
        <w:tc>
          <w:tcPr>
            <w:tcW w:w="983" w:type="pct"/>
            <w:shd w:val="clear" w:color="auto" w:fill="EFE7D8"/>
            <w:vAlign w:val="center"/>
          </w:tcPr>
          <w:p w14:paraId="13BAEBF7" w14:textId="77777777" w:rsidR="00735A01" w:rsidRPr="00FC38C4" w:rsidRDefault="00735A01" w:rsidP="00017608">
            <w:pPr>
              <w:jc w:val="center"/>
              <w:rPr>
                <w:b/>
                <w:bCs/>
                <w:sz w:val="20"/>
                <w:szCs w:val="20"/>
              </w:rPr>
            </w:pPr>
            <w:r w:rsidRPr="00FC38C4">
              <w:rPr>
                <w:b/>
                <w:bCs/>
                <w:sz w:val="20"/>
                <w:szCs w:val="20"/>
              </w:rPr>
              <w:t>Under performance</w:t>
            </w:r>
          </w:p>
          <w:p w14:paraId="04FB1C94" w14:textId="77777777" w:rsidR="00735A01" w:rsidRPr="00FC38C4" w:rsidRDefault="00735A01" w:rsidP="00017608">
            <w:pPr>
              <w:jc w:val="center"/>
              <w:rPr>
                <w:b/>
                <w:bCs/>
                <w:sz w:val="20"/>
                <w:szCs w:val="20"/>
              </w:rPr>
            </w:pPr>
            <w:r w:rsidRPr="00347CB3">
              <w:rPr>
                <w:b/>
                <w:bCs/>
                <w:sz w:val="20"/>
                <w:szCs w:val="20"/>
              </w:rPr>
              <w:t>&lt;3 points per criteria</w:t>
            </w:r>
          </w:p>
        </w:tc>
        <w:tc>
          <w:tcPr>
            <w:tcW w:w="983" w:type="pct"/>
            <w:shd w:val="clear" w:color="auto" w:fill="EFE7D8"/>
            <w:vAlign w:val="center"/>
          </w:tcPr>
          <w:p w14:paraId="308415EF" w14:textId="77777777" w:rsidR="00735A01" w:rsidRPr="00FC38C4" w:rsidRDefault="00735A01" w:rsidP="00017608">
            <w:pPr>
              <w:jc w:val="center"/>
              <w:rPr>
                <w:b/>
                <w:bCs/>
                <w:sz w:val="20"/>
                <w:szCs w:val="20"/>
              </w:rPr>
            </w:pPr>
            <w:r w:rsidRPr="00FC38C4">
              <w:rPr>
                <w:b/>
                <w:bCs/>
                <w:sz w:val="20"/>
                <w:szCs w:val="20"/>
              </w:rPr>
              <w:t>Basic</w:t>
            </w:r>
          </w:p>
          <w:p w14:paraId="564A4631" w14:textId="77777777" w:rsidR="00735A01" w:rsidRPr="00FC38C4" w:rsidRDefault="00735A01" w:rsidP="00017608">
            <w:pPr>
              <w:jc w:val="center"/>
              <w:rPr>
                <w:b/>
                <w:bCs/>
                <w:sz w:val="20"/>
                <w:szCs w:val="20"/>
              </w:rPr>
            </w:pPr>
            <w:r w:rsidRPr="00347CB3">
              <w:rPr>
                <w:b/>
                <w:bCs/>
                <w:sz w:val="20"/>
                <w:szCs w:val="20"/>
              </w:rPr>
              <w:t>3 – 3.9 points per criteria</w:t>
            </w:r>
          </w:p>
        </w:tc>
        <w:tc>
          <w:tcPr>
            <w:tcW w:w="983" w:type="pct"/>
            <w:shd w:val="clear" w:color="auto" w:fill="EFE7D8"/>
            <w:vAlign w:val="center"/>
          </w:tcPr>
          <w:p w14:paraId="7A73B3DE" w14:textId="77777777" w:rsidR="00735A01" w:rsidRPr="00FC38C4" w:rsidRDefault="00735A01" w:rsidP="00017608">
            <w:pPr>
              <w:jc w:val="center"/>
              <w:rPr>
                <w:b/>
                <w:bCs/>
                <w:sz w:val="20"/>
                <w:szCs w:val="20"/>
              </w:rPr>
            </w:pPr>
            <w:r w:rsidRPr="00FC38C4">
              <w:rPr>
                <w:b/>
                <w:bCs/>
                <w:sz w:val="20"/>
                <w:szCs w:val="20"/>
              </w:rPr>
              <w:t>Proficient</w:t>
            </w:r>
          </w:p>
          <w:p w14:paraId="43C84555" w14:textId="77777777" w:rsidR="00735A01" w:rsidRPr="00FC38C4" w:rsidRDefault="00735A01" w:rsidP="00017608">
            <w:pPr>
              <w:jc w:val="center"/>
              <w:rPr>
                <w:b/>
                <w:bCs/>
                <w:sz w:val="20"/>
                <w:szCs w:val="20"/>
              </w:rPr>
            </w:pPr>
            <w:r w:rsidRPr="00347CB3">
              <w:rPr>
                <w:b/>
                <w:bCs/>
                <w:sz w:val="20"/>
                <w:szCs w:val="20"/>
              </w:rPr>
              <w:t>4.0 – 4.4 points per criteria</w:t>
            </w:r>
          </w:p>
        </w:tc>
        <w:tc>
          <w:tcPr>
            <w:tcW w:w="1067" w:type="pct"/>
            <w:shd w:val="clear" w:color="auto" w:fill="EFE7D8"/>
            <w:vAlign w:val="center"/>
          </w:tcPr>
          <w:p w14:paraId="7518A71E" w14:textId="77777777" w:rsidR="00735A01" w:rsidRPr="00FC38C4" w:rsidRDefault="00735A01" w:rsidP="00017608">
            <w:pPr>
              <w:jc w:val="center"/>
              <w:rPr>
                <w:b/>
                <w:bCs/>
                <w:sz w:val="20"/>
                <w:szCs w:val="20"/>
              </w:rPr>
            </w:pPr>
            <w:r w:rsidRPr="00FC38C4">
              <w:rPr>
                <w:b/>
                <w:bCs/>
                <w:sz w:val="20"/>
                <w:szCs w:val="20"/>
              </w:rPr>
              <w:t>Distinguished</w:t>
            </w:r>
          </w:p>
          <w:p w14:paraId="4DD0108D" w14:textId="77777777" w:rsidR="00735A01" w:rsidRPr="00FC38C4" w:rsidRDefault="00735A01" w:rsidP="00017608">
            <w:pPr>
              <w:jc w:val="center"/>
              <w:rPr>
                <w:b/>
                <w:bCs/>
                <w:sz w:val="20"/>
                <w:szCs w:val="20"/>
              </w:rPr>
            </w:pPr>
            <w:r w:rsidRPr="00347CB3">
              <w:rPr>
                <w:b/>
                <w:bCs/>
                <w:sz w:val="20"/>
                <w:szCs w:val="20"/>
              </w:rPr>
              <w:t>4.5 – 5 points per criteria</w:t>
            </w:r>
          </w:p>
        </w:tc>
      </w:tr>
      <w:tr w:rsidR="00735A01" w:rsidRPr="00FC38C4" w14:paraId="2A49D112" w14:textId="77777777" w:rsidTr="00017608">
        <w:trPr>
          <w:tblCellSpacing w:w="0" w:type="dxa"/>
          <w:jc w:val="center"/>
        </w:trPr>
        <w:tc>
          <w:tcPr>
            <w:tcW w:w="983" w:type="pct"/>
            <w:vAlign w:val="center"/>
          </w:tcPr>
          <w:p w14:paraId="24FB8051" w14:textId="77777777" w:rsidR="00735A01" w:rsidRPr="00FC38C4" w:rsidRDefault="00735A01" w:rsidP="00017608">
            <w:pPr>
              <w:rPr>
                <w:sz w:val="20"/>
                <w:szCs w:val="20"/>
              </w:rPr>
            </w:pPr>
            <w:r w:rsidRPr="00FC38C4">
              <w:rPr>
                <w:b/>
                <w:bCs/>
                <w:sz w:val="20"/>
                <w:szCs w:val="20"/>
              </w:rPr>
              <w:t>Required content objectives</w:t>
            </w:r>
          </w:p>
        </w:tc>
        <w:tc>
          <w:tcPr>
            <w:tcW w:w="983" w:type="pct"/>
          </w:tcPr>
          <w:p w14:paraId="5F765CBF" w14:textId="77777777" w:rsidR="00735A01" w:rsidRPr="00FC38C4" w:rsidRDefault="00735A01" w:rsidP="00017608">
            <w:pPr>
              <w:rPr>
                <w:sz w:val="20"/>
                <w:szCs w:val="20"/>
              </w:rPr>
            </w:pPr>
            <w:r w:rsidRPr="00FC38C4">
              <w:rPr>
                <w:sz w:val="20"/>
                <w:szCs w:val="20"/>
              </w:rPr>
              <w:t>Content objectives are missing or sparsely covered.</w:t>
            </w:r>
            <w:r>
              <w:rPr>
                <w:sz w:val="20"/>
                <w:szCs w:val="20"/>
              </w:rPr>
              <w:t xml:space="preserve"> </w:t>
            </w:r>
          </w:p>
        </w:tc>
        <w:tc>
          <w:tcPr>
            <w:tcW w:w="983" w:type="pct"/>
          </w:tcPr>
          <w:p w14:paraId="5AD0E380" w14:textId="77777777" w:rsidR="00735A01" w:rsidRPr="00FC38C4" w:rsidRDefault="00735A01" w:rsidP="00017608">
            <w:pPr>
              <w:rPr>
                <w:sz w:val="20"/>
                <w:szCs w:val="20"/>
              </w:rPr>
            </w:pPr>
            <w:r w:rsidRPr="00FC38C4">
              <w:rPr>
                <w:sz w:val="20"/>
                <w:szCs w:val="20"/>
              </w:rPr>
              <w:t>Content objectives are not consistently addressed. Demonstrates minimal understanding of content.</w:t>
            </w:r>
            <w:r>
              <w:rPr>
                <w:sz w:val="20"/>
                <w:szCs w:val="20"/>
              </w:rPr>
              <w:t xml:space="preserve"> </w:t>
            </w:r>
          </w:p>
        </w:tc>
        <w:tc>
          <w:tcPr>
            <w:tcW w:w="983" w:type="pct"/>
          </w:tcPr>
          <w:p w14:paraId="1AB496B8" w14:textId="2FF0AA37" w:rsidR="00735A01" w:rsidRPr="00FC38C4" w:rsidRDefault="00735A01" w:rsidP="00017608">
            <w:pPr>
              <w:rPr>
                <w:sz w:val="20"/>
                <w:szCs w:val="20"/>
              </w:rPr>
            </w:pPr>
            <w:r w:rsidRPr="00FC38C4">
              <w:rPr>
                <w:sz w:val="20"/>
                <w:szCs w:val="20"/>
              </w:rPr>
              <w:t xml:space="preserve">Content objectives </w:t>
            </w:r>
            <w:r w:rsidR="00286F10">
              <w:rPr>
                <w:sz w:val="20"/>
                <w:szCs w:val="20"/>
              </w:rPr>
              <w:t xml:space="preserve">are </w:t>
            </w:r>
            <w:r w:rsidRPr="00FC38C4">
              <w:rPr>
                <w:sz w:val="20"/>
                <w:szCs w:val="20"/>
              </w:rPr>
              <w:t xml:space="preserve">consistently addressed. Demonstrates understanding of content. </w:t>
            </w:r>
          </w:p>
        </w:tc>
        <w:tc>
          <w:tcPr>
            <w:tcW w:w="1067" w:type="pct"/>
          </w:tcPr>
          <w:p w14:paraId="1D06D5EE" w14:textId="0DD498A5" w:rsidR="00735A01" w:rsidRPr="00FC38C4" w:rsidRDefault="00735A01" w:rsidP="00017608">
            <w:pPr>
              <w:rPr>
                <w:sz w:val="20"/>
                <w:szCs w:val="20"/>
              </w:rPr>
            </w:pPr>
            <w:r w:rsidRPr="00FC38C4">
              <w:rPr>
                <w:sz w:val="20"/>
                <w:szCs w:val="20"/>
              </w:rPr>
              <w:t xml:space="preserve">Content objectives </w:t>
            </w:r>
            <w:r w:rsidR="00286F10">
              <w:rPr>
                <w:sz w:val="20"/>
                <w:szCs w:val="20"/>
              </w:rPr>
              <w:t xml:space="preserve">are </w:t>
            </w:r>
            <w:r w:rsidRPr="00FC38C4">
              <w:rPr>
                <w:sz w:val="20"/>
                <w:szCs w:val="20"/>
              </w:rPr>
              <w:t xml:space="preserve">consistently addressed. Demonstrates mastery of content. </w:t>
            </w:r>
          </w:p>
        </w:tc>
      </w:tr>
      <w:tr w:rsidR="00735A01" w:rsidRPr="00FC38C4" w14:paraId="07C3A358" w14:textId="77777777" w:rsidTr="00017608">
        <w:trPr>
          <w:tblCellSpacing w:w="0" w:type="dxa"/>
          <w:jc w:val="center"/>
        </w:trPr>
        <w:tc>
          <w:tcPr>
            <w:tcW w:w="983" w:type="pct"/>
            <w:vAlign w:val="center"/>
          </w:tcPr>
          <w:p w14:paraId="6CE66F8F" w14:textId="77777777" w:rsidR="00735A01" w:rsidRPr="00FC38C4" w:rsidRDefault="00735A01" w:rsidP="00017608">
            <w:pPr>
              <w:rPr>
                <w:sz w:val="20"/>
                <w:szCs w:val="20"/>
              </w:rPr>
            </w:pPr>
            <w:r w:rsidRPr="00FC38C4">
              <w:rPr>
                <w:b/>
                <w:bCs/>
                <w:sz w:val="20"/>
                <w:szCs w:val="20"/>
              </w:rPr>
              <w:t>Academic writing standards</w:t>
            </w:r>
          </w:p>
        </w:tc>
        <w:tc>
          <w:tcPr>
            <w:tcW w:w="983" w:type="pct"/>
          </w:tcPr>
          <w:p w14:paraId="5F52C0DA" w14:textId="77777777" w:rsidR="00735A01" w:rsidRPr="00FC38C4" w:rsidRDefault="00735A01" w:rsidP="00017608">
            <w:pPr>
              <w:rPr>
                <w:sz w:val="20"/>
                <w:szCs w:val="20"/>
              </w:rPr>
            </w:pPr>
            <w:r w:rsidRPr="00FC38C4">
              <w:rPr>
                <w:sz w:val="20"/>
                <w:szCs w:val="20"/>
              </w:rPr>
              <w:t xml:space="preserve">Writing lacks scholarly tone &amp; focus. Sparse content. Multiple grammatical, spelling, &amp; factual errors. </w:t>
            </w:r>
            <w:r>
              <w:rPr>
                <w:sz w:val="20"/>
                <w:szCs w:val="20"/>
              </w:rPr>
              <w:t>Reliance on bullet points rather than effective writing in speaker notes. 4 or more direct quotes per project.</w:t>
            </w:r>
          </w:p>
        </w:tc>
        <w:tc>
          <w:tcPr>
            <w:tcW w:w="983" w:type="pct"/>
          </w:tcPr>
          <w:p w14:paraId="04BD4770" w14:textId="77777777" w:rsidR="00735A01" w:rsidRPr="00FC38C4" w:rsidRDefault="00735A01" w:rsidP="00017608">
            <w:pPr>
              <w:rPr>
                <w:sz w:val="20"/>
                <w:szCs w:val="20"/>
              </w:rPr>
            </w:pPr>
            <w:r w:rsidRPr="00FC38C4">
              <w:rPr>
                <w:sz w:val="20"/>
                <w:szCs w:val="20"/>
              </w:rPr>
              <w:t>Writing is unclear and/or disorganized. Inconsistent scholarly tone. Inadequate depth of content. Grammatical and spelling errors.</w:t>
            </w:r>
            <w:r>
              <w:rPr>
                <w:sz w:val="20"/>
                <w:szCs w:val="20"/>
              </w:rPr>
              <w:t xml:space="preserve"> </w:t>
            </w:r>
            <w:r>
              <w:rPr>
                <w:rFonts w:ascii="Calibri" w:hAnsi="Calibri"/>
                <w:sz w:val="18"/>
                <w:szCs w:val="18"/>
              </w:rPr>
              <w:t>No more than 3 direct quote of</w:t>
            </w:r>
            <w:r w:rsidRPr="003E66B7">
              <w:rPr>
                <w:rFonts w:ascii="Calibri" w:hAnsi="Calibri"/>
                <w:sz w:val="18"/>
                <w:szCs w:val="18"/>
              </w:rPr>
              <w:t xml:space="preserve"> less </w:t>
            </w:r>
            <w:r>
              <w:rPr>
                <w:rFonts w:ascii="Calibri" w:hAnsi="Calibri"/>
                <w:sz w:val="18"/>
                <w:szCs w:val="18"/>
              </w:rPr>
              <w:t>than 40 words per project.</w:t>
            </w:r>
          </w:p>
        </w:tc>
        <w:tc>
          <w:tcPr>
            <w:tcW w:w="983" w:type="pct"/>
          </w:tcPr>
          <w:p w14:paraId="6C6A37CD" w14:textId="77777777" w:rsidR="00735A01" w:rsidRPr="00FC38C4" w:rsidRDefault="00735A01" w:rsidP="00017608">
            <w:pPr>
              <w:rPr>
                <w:sz w:val="20"/>
                <w:szCs w:val="20"/>
              </w:rPr>
            </w:pPr>
            <w:r w:rsidRPr="00FC38C4">
              <w:rPr>
                <w:sz w:val="20"/>
                <w:szCs w:val="20"/>
              </w:rPr>
              <w:t xml:space="preserve">Writing demonstrates general exploration of content. </w:t>
            </w:r>
            <w:r>
              <w:rPr>
                <w:sz w:val="20"/>
                <w:szCs w:val="20"/>
              </w:rPr>
              <w:t>Responses</w:t>
            </w:r>
            <w:r w:rsidRPr="00FC38C4">
              <w:rPr>
                <w:sz w:val="20"/>
                <w:szCs w:val="20"/>
              </w:rPr>
              <w:t xml:space="preserve"> are clearly written using scholarly tone. Few grammatical and/or spelling errors.</w:t>
            </w:r>
            <w:r>
              <w:rPr>
                <w:sz w:val="20"/>
                <w:szCs w:val="20"/>
              </w:rPr>
              <w:t xml:space="preserve"> </w:t>
            </w:r>
            <w:r>
              <w:rPr>
                <w:rFonts w:ascii="Calibri" w:hAnsi="Calibri"/>
                <w:sz w:val="18"/>
                <w:szCs w:val="18"/>
              </w:rPr>
              <w:t>No more than 2 direct quote of</w:t>
            </w:r>
            <w:r w:rsidRPr="003E66B7">
              <w:rPr>
                <w:rFonts w:ascii="Calibri" w:hAnsi="Calibri"/>
                <w:sz w:val="18"/>
                <w:szCs w:val="18"/>
              </w:rPr>
              <w:t xml:space="preserve"> less </w:t>
            </w:r>
            <w:r>
              <w:rPr>
                <w:rFonts w:ascii="Calibri" w:hAnsi="Calibri"/>
                <w:sz w:val="18"/>
                <w:szCs w:val="18"/>
              </w:rPr>
              <w:t>than 40 words per project.</w:t>
            </w:r>
          </w:p>
        </w:tc>
        <w:tc>
          <w:tcPr>
            <w:tcW w:w="1067" w:type="pct"/>
          </w:tcPr>
          <w:p w14:paraId="41EBA271" w14:textId="3755E5E4" w:rsidR="00735A01" w:rsidRPr="00FC38C4" w:rsidRDefault="00735A01" w:rsidP="00017608">
            <w:pPr>
              <w:rPr>
                <w:sz w:val="20"/>
                <w:szCs w:val="20"/>
              </w:rPr>
            </w:pPr>
            <w:r w:rsidRPr="00FC38C4">
              <w:rPr>
                <w:sz w:val="20"/>
                <w:szCs w:val="20"/>
              </w:rPr>
              <w:t xml:space="preserve">Writing demonstrates </w:t>
            </w:r>
            <w:r w:rsidR="00286F10">
              <w:rPr>
                <w:sz w:val="20"/>
                <w:szCs w:val="20"/>
              </w:rPr>
              <w:t xml:space="preserve">a </w:t>
            </w:r>
            <w:r w:rsidRPr="00FC38C4">
              <w:rPr>
                <w:sz w:val="20"/>
                <w:szCs w:val="20"/>
              </w:rPr>
              <w:t xml:space="preserve">comprehensive exploration of content. </w:t>
            </w:r>
            <w:r>
              <w:rPr>
                <w:sz w:val="20"/>
                <w:szCs w:val="20"/>
              </w:rPr>
              <w:t>Responses</w:t>
            </w:r>
            <w:r w:rsidRPr="00FC38C4">
              <w:rPr>
                <w:sz w:val="20"/>
                <w:szCs w:val="20"/>
              </w:rPr>
              <w:t xml:space="preserve"> are clearly written using </w:t>
            </w:r>
            <w:r w:rsidR="00286F10">
              <w:rPr>
                <w:sz w:val="20"/>
                <w:szCs w:val="20"/>
              </w:rPr>
              <w:t xml:space="preserve">a </w:t>
            </w:r>
            <w:r w:rsidRPr="00FC38C4">
              <w:rPr>
                <w:sz w:val="20"/>
                <w:szCs w:val="20"/>
              </w:rPr>
              <w:t>scholarly tone. Rare grammatical and/or spelling errors.</w:t>
            </w:r>
            <w:r>
              <w:rPr>
                <w:sz w:val="20"/>
                <w:szCs w:val="20"/>
              </w:rPr>
              <w:t xml:space="preserve"> </w:t>
            </w:r>
            <w:r>
              <w:rPr>
                <w:rFonts w:ascii="Calibri" w:hAnsi="Calibri"/>
                <w:sz w:val="18"/>
                <w:szCs w:val="18"/>
              </w:rPr>
              <w:t>No more than 1 direct quote of</w:t>
            </w:r>
            <w:r w:rsidRPr="003E66B7">
              <w:rPr>
                <w:rFonts w:ascii="Calibri" w:hAnsi="Calibri"/>
                <w:sz w:val="18"/>
                <w:szCs w:val="18"/>
              </w:rPr>
              <w:t xml:space="preserve"> less </w:t>
            </w:r>
            <w:r>
              <w:rPr>
                <w:rFonts w:ascii="Calibri" w:hAnsi="Calibri"/>
                <w:sz w:val="18"/>
                <w:szCs w:val="18"/>
              </w:rPr>
              <w:t>than 40 words per project.</w:t>
            </w:r>
          </w:p>
        </w:tc>
      </w:tr>
      <w:tr w:rsidR="00735A01" w:rsidRPr="00FC38C4" w14:paraId="06CA6B89" w14:textId="77777777" w:rsidTr="00017608">
        <w:trPr>
          <w:tblCellSpacing w:w="0" w:type="dxa"/>
          <w:jc w:val="center"/>
        </w:trPr>
        <w:tc>
          <w:tcPr>
            <w:tcW w:w="983" w:type="pct"/>
            <w:vAlign w:val="center"/>
          </w:tcPr>
          <w:p w14:paraId="775E15B9" w14:textId="77777777" w:rsidR="00735A01" w:rsidRPr="00FC38C4" w:rsidRDefault="00735A01" w:rsidP="00017608">
            <w:pPr>
              <w:rPr>
                <w:b/>
                <w:bCs/>
                <w:sz w:val="20"/>
                <w:szCs w:val="20"/>
              </w:rPr>
            </w:pPr>
            <w:r w:rsidRPr="00FC38C4">
              <w:rPr>
                <w:b/>
                <w:bCs/>
                <w:sz w:val="20"/>
                <w:szCs w:val="20"/>
              </w:rPr>
              <w:t xml:space="preserve">APA formatting </w:t>
            </w:r>
          </w:p>
        </w:tc>
        <w:tc>
          <w:tcPr>
            <w:tcW w:w="983" w:type="pct"/>
          </w:tcPr>
          <w:p w14:paraId="6F74413B" w14:textId="77777777" w:rsidR="00735A01" w:rsidRPr="00FC38C4" w:rsidRDefault="00735A01" w:rsidP="00017608">
            <w:pPr>
              <w:rPr>
                <w:sz w:val="20"/>
                <w:szCs w:val="20"/>
              </w:rPr>
            </w:pPr>
            <w:r w:rsidRPr="00FC38C4">
              <w:rPr>
                <w:sz w:val="20"/>
                <w:szCs w:val="20"/>
              </w:rPr>
              <w:t>References and citations have multiple errors or are missing.</w:t>
            </w:r>
          </w:p>
        </w:tc>
        <w:tc>
          <w:tcPr>
            <w:tcW w:w="983" w:type="pct"/>
          </w:tcPr>
          <w:p w14:paraId="59F76B58" w14:textId="77777777" w:rsidR="00735A01" w:rsidRPr="00FC38C4" w:rsidRDefault="00735A01" w:rsidP="00017608">
            <w:pPr>
              <w:rPr>
                <w:sz w:val="20"/>
                <w:szCs w:val="20"/>
              </w:rPr>
            </w:pPr>
            <w:r w:rsidRPr="00FC38C4">
              <w:rPr>
                <w:sz w:val="20"/>
                <w:szCs w:val="20"/>
              </w:rPr>
              <w:t>References and citations have errors.</w:t>
            </w:r>
          </w:p>
        </w:tc>
        <w:tc>
          <w:tcPr>
            <w:tcW w:w="983" w:type="pct"/>
          </w:tcPr>
          <w:p w14:paraId="03DDF301" w14:textId="77777777" w:rsidR="00735A01" w:rsidRPr="00FC38C4" w:rsidRDefault="00735A01" w:rsidP="00017608">
            <w:pPr>
              <w:rPr>
                <w:sz w:val="20"/>
                <w:szCs w:val="20"/>
              </w:rPr>
            </w:pPr>
            <w:r w:rsidRPr="00FC38C4">
              <w:rPr>
                <w:sz w:val="20"/>
                <w:szCs w:val="20"/>
              </w:rPr>
              <w:t>References and citations have few errors.</w:t>
            </w:r>
          </w:p>
        </w:tc>
        <w:tc>
          <w:tcPr>
            <w:tcW w:w="1067" w:type="pct"/>
          </w:tcPr>
          <w:p w14:paraId="74C00D48" w14:textId="77777777" w:rsidR="00735A01" w:rsidRPr="00FC38C4" w:rsidRDefault="00735A01" w:rsidP="00017608">
            <w:pPr>
              <w:rPr>
                <w:sz w:val="20"/>
                <w:szCs w:val="20"/>
              </w:rPr>
            </w:pPr>
            <w:r w:rsidRPr="00FC38C4">
              <w:rPr>
                <w:sz w:val="20"/>
                <w:szCs w:val="20"/>
              </w:rPr>
              <w:t>References and citations have rare errors.</w:t>
            </w:r>
          </w:p>
        </w:tc>
      </w:tr>
    </w:tbl>
    <w:p w14:paraId="1E8C1B4C" w14:textId="77777777" w:rsidR="00735A01" w:rsidRDefault="00735A01" w:rsidP="009B726E">
      <w:pPr>
        <w:jc w:val="both"/>
        <w:rPr>
          <w:b/>
          <w:color w:val="000000" w:themeColor="text1"/>
        </w:rPr>
      </w:pPr>
    </w:p>
    <w:p w14:paraId="7FFFF2BF" w14:textId="77777777" w:rsidR="009B726E" w:rsidRDefault="00735A01" w:rsidP="009B726E">
      <w:pPr>
        <w:jc w:val="both"/>
        <w:rPr>
          <w:b/>
          <w:color w:val="FF0000"/>
        </w:rPr>
      </w:pPr>
      <w:r>
        <w:rPr>
          <w:b/>
          <w:color w:val="000000" w:themeColor="text1"/>
        </w:rPr>
        <w:t xml:space="preserve">Carefully review the assignment rubric above for how points are awarded. </w:t>
      </w:r>
      <w:r w:rsidR="009B726E" w:rsidRPr="00C83FFD">
        <w:rPr>
          <w:b/>
          <w:color w:val="000000" w:themeColor="text1"/>
        </w:rPr>
        <w:t>Using academic writing standards and APA formatting</w:t>
      </w:r>
      <w:r w:rsidR="009B726E">
        <w:rPr>
          <w:b/>
          <w:color w:val="000000" w:themeColor="text1"/>
        </w:rPr>
        <w:t xml:space="preserve"> of references</w:t>
      </w:r>
      <w:r>
        <w:rPr>
          <w:b/>
          <w:color w:val="000000" w:themeColor="text1"/>
        </w:rPr>
        <w:t xml:space="preserve"> and citations</w:t>
      </w:r>
      <w:r w:rsidR="009B726E" w:rsidRPr="00C83FFD">
        <w:rPr>
          <w:b/>
          <w:color w:val="000000" w:themeColor="text1"/>
        </w:rPr>
        <w:t>, respond</w:t>
      </w:r>
      <w:r w:rsidR="009B726E">
        <w:rPr>
          <w:b/>
          <w:color w:val="000000" w:themeColor="text1"/>
        </w:rPr>
        <w:t xml:space="preserve"> to</w:t>
      </w:r>
      <w:r w:rsidR="009B726E" w:rsidRPr="00C83FFD">
        <w:rPr>
          <w:b/>
          <w:color w:val="000000" w:themeColor="text1"/>
        </w:rPr>
        <w:t xml:space="preserve"> </w:t>
      </w:r>
      <w:r w:rsidR="009B726E">
        <w:rPr>
          <w:b/>
          <w:color w:val="000000" w:themeColor="text1"/>
        </w:rPr>
        <w:t>each of</w:t>
      </w:r>
      <w:r>
        <w:rPr>
          <w:b/>
          <w:color w:val="000000" w:themeColor="text1"/>
        </w:rPr>
        <w:t xml:space="preserve"> the </w:t>
      </w:r>
      <w:r w:rsidR="009B726E" w:rsidRPr="00C83FFD">
        <w:rPr>
          <w:b/>
          <w:color w:val="000000" w:themeColor="text1"/>
        </w:rPr>
        <w:t>learning objectives</w:t>
      </w:r>
      <w:r>
        <w:rPr>
          <w:b/>
          <w:color w:val="000000" w:themeColor="text1"/>
        </w:rPr>
        <w:t xml:space="preserve"> on page two</w:t>
      </w:r>
      <w:r w:rsidR="009B726E" w:rsidRPr="00C83FFD">
        <w:rPr>
          <w:b/>
          <w:color w:val="000000" w:themeColor="text1"/>
        </w:rPr>
        <w:t xml:space="preserve">. </w:t>
      </w:r>
      <w:r w:rsidRPr="00735A01">
        <w:rPr>
          <w:b/>
          <w:color w:val="000000" w:themeColor="text1"/>
          <w:highlight w:val="yellow"/>
        </w:rPr>
        <w:t>Each response</w:t>
      </w:r>
      <w:r w:rsidR="009B726E" w:rsidRPr="00735A01">
        <w:rPr>
          <w:b/>
          <w:color w:val="000000" w:themeColor="text1"/>
          <w:highlight w:val="yellow"/>
        </w:rPr>
        <w:t xml:space="preserve"> should be 150-350 words in length.</w:t>
      </w:r>
      <w:r w:rsidR="009B726E">
        <w:rPr>
          <w:b/>
          <w:color w:val="000000" w:themeColor="text1"/>
        </w:rPr>
        <w:t xml:space="preserve"> Save the completed document as the assignment title and submit to the dropbox.</w:t>
      </w:r>
    </w:p>
    <w:p w14:paraId="191075D0" w14:textId="77777777" w:rsidR="00735A01" w:rsidRDefault="00735A01" w:rsidP="009B726E">
      <w:pPr>
        <w:jc w:val="both"/>
        <w:rPr>
          <w:b/>
          <w:color w:val="FF0000"/>
        </w:rPr>
      </w:pPr>
    </w:p>
    <w:p w14:paraId="1B73BC2C" w14:textId="77777777" w:rsidR="00735A01" w:rsidRDefault="00735A01" w:rsidP="009B726E">
      <w:pPr>
        <w:jc w:val="both"/>
        <w:rPr>
          <w:b/>
          <w:color w:val="FF0000"/>
        </w:rPr>
      </w:pPr>
    </w:p>
    <w:p w14:paraId="420697E9" w14:textId="6F3FF6BC" w:rsidR="00735A01" w:rsidRDefault="007E32D1" w:rsidP="00735A01">
      <w:pPr>
        <w:pStyle w:val="ListParagraph"/>
        <w:numPr>
          <w:ilvl w:val="0"/>
          <w:numId w:val="4"/>
        </w:numPr>
        <w:jc w:val="both"/>
      </w:pPr>
      <w:r>
        <w:t>Explain</w:t>
      </w:r>
      <w:r w:rsidR="00735A01">
        <w:t xml:space="preserve"> the pelvic nerves responsible for sexual function and how the sympathetic </w:t>
      </w:r>
      <w:r w:rsidR="00CE734D">
        <w:t xml:space="preserve">&amp; </w:t>
      </w:r>
      <w:r w:rsidR="00735A01">
        <w:t>parasympathetic nervous systems impact this process.</w:t>
      </w:r>
    </w:p>
    <w:p w14:paraId="1711932D" w14:textId="6E2A3424" w:rsidR="005E5C6F" w:rsidRDefault="005E5C6F" w:rsidP="00291D86">
      <w:pPr>
        <w:pStyle w:val="ListParagraph"/>
        <w:spacing w:line="480" w:lineRule="auto"/>
      </w:pPr>
      <w:r>
        <w:lastRenderedPageBreak/>
        <w:t xml:space="preserve">The pelvic nerves are responsible for supplying sensation and function to the human reproductive system, the penis, vagina, anus, and the digestive system.  The sensations are in the form of touch, pleasure, temperature, and pain. The pelvic nerves are called the pudendal nerve.  </w:t>
      </w:r>
      <w:r w:rsidR="005816FE">
        <w:t>Suppose an injury occurs to the pudendal nerve. In that case,</w:t>
      </w:r>
      <w:r>
        <w:t xml:space="preserve"> the patient will experience pain</w:t>
      </w:r>
      <w:r w:rsidR="005816FE">
        <w:t>,</w:t>
      </w:r>
      <w:r>
        <w:t xml:space="preserve"> which will have a direct effect on an individual’s potential to perform intimacy and be less pleasurable due to the presence of pain (Cleveland Clinic, 2021).  Both the sympathetic and parasympathetic nervous systems play an </w:t>
      </w:r>
      <w:r w:rsidR="005816FE">
        <w:t>essential</w:t>
      </w:r>
      <w:r>
        <w:t xml:space="preserve"> role in sexual functioning by working independently of each other to cause an excitatory and inhibitory response.  The Sympathetic Nervous </w:t>
      </w:r>
      <w:r w:rsidR="005816FE">
        <w:t>System's</w:t>
      </w:r>
      <w:r>
        <w:t xml:space="preserve"> (SNS) </w:t>
      </w:r>
      <w:r w:rsidR="005816FE">
        <w:t>primary</w:t>
      </w:r>
      <w:r>
        <w:t xml:space="preserve"> function is to protect the body from danger by initiating the fight-flight response</w:t>
      </w:r>
      <w:r w:rsidR="005816FE">
        <w:t>,</w:t>
      </w:r>
      <w:r>
        <w:t xml:space="preserve"> thus impeding sexual arousal because the nerve signals are one to respond to stress or danger, causing the body to contract. Hence, the Parasympathetic Nervous System (PNS) </w:t>
      </w:r>
      <w:r w:rsidR="005816FE">
        <w:t>primary</w:t>
      </w:r>
      <w:r>
        <w:t xml:space="preserve"> function in sexual arousal is for the reproductive organ arteries to dilate</w:t>
      </w:r>
      <w:r w:rsidR="005816FE">
        <w:t>; at</w:t>
      </w:r>
      <w:r>
        <w:t xml:space="preserve"> the same time</w:t>
      </w:r>
      <w:r w:rsidR="005816FE">
        <w:t>,</w:t>
      </w:r>
      <w:r>
        <w:t xml:space="preserve"> the smooth muscle expands</w:t>
      </w:r>
      <w:r w:rsidR="005816FE">
        <w:t>,</w:t>
      </w:r>
      <w:r>
        <w:t xml:space="preserve"> producing sexual arousal in both the male and female.    </w:t>
      </w:r>
    </w:p>
    <w:p w14:paraId="13C8BD44" w14:textId="77777777" w:rsidR="005E5C6F" w:rsidRDefault="005E5C6F" w:rsidP="005E5C6F">
      <w:pPr>
        <w:pStyle w:val="ListParagraph"/>
        <w:jc w:val="both"/>
      </w:pPr>
    </w:p>
    <w:p w14:paraId="11FE9AC4" w14:textId="77777777" w:rsidR="007E32D1" w:rsidRDefault="007E32D1" w:rsidP="007E32D1">
      <w:pPr>
        <w:jc w:val="both"/>
      </w:pPr>
    </w:p>
    <w:p w14:paraId="6F8411DD" w14:textId="77777777" w:rsidR="00735A01" w:rsidRDefault="00735A01" w:rsidP="00735A01">
      <w:pPr>
        <w:pStyle w:val="ListParagraph"/>
        <w:numPr>
          <w:ilvl w:val="0"/>
          <w:numId w:val="4"/>
        </w:numPr>
        <w:jc w:val="both"/>
      </w:pPr>
      <w:bookmarkStart w:id="0" w:name="_Hlk149480909"/>
      <w:r>
        <w:t>D</w:t>
      </w:r>
      <w:r w:rsidR="007E32D1">
        <w:t>ifferentiate between</w:t>
      </w:r>
      <w:r>
        <w:t xml:space="preserve"> body image and self-concept. </w:t>
      </w:r>
    </w:p>
    <w:bookmarkEnd w:id="0"/>
    <w:p w14:paraId="35F45327" w14:textId="15EF12E5" w:rsidR="001D32AE" w:rsidRDefault="001D32AE" w:rsidP="00291D86">
      <w:pPr>
        <w:spacing w:line="480" w:lineRule="auto"/>
        <w:ind w:left="360"/>
      </w:pPr>
      <w:r>
        <w:t xml:space="preserve">Body image and self-concept are two different views, but both directly impact each other.  Body image is how a person views their individual body and the reflection seen through their lens when looking in a mirror. </w:t>
      </w:r>
      <w:r w:rsidR="00D72BC8">
        <w:t>This image is developed over time</w:t>
      </w:r>
      <w:r w:rsidR="0095773C">
        <w:t>,</w:t>
      </w:r>
      <w:r w:rsidR="00D72BC8">
        <w:t xml:space="preserve"> and </w:t>
      </w:r>
      <w:r w:rsidR="000D6477">
        <w:t xml:space="preserve">any </w:t>
      </w:r>
      <w:r w:rsidR="00D72BC8">
        <w:t>alter</w:t>
      </w:r>
      <w:r w:rsidR="000D6477">
        <w:t>ation</w:t>
      </w:r>
      <w:r w:rsidR="0095773C">
        <w:t xml:space="preserve"> can </w:t>
      </w:r>
      <w:r w:rsidR="000D6477">
        <w:t>hinder</w:t>
      </w:r>
      <w:r w:rsidR="0058347E">
        <w:t xml:space="preserve"> how it is perceived; in </w:t>
      </w:r>
      <w:r w:rsidR="0095773C">
        <w:t>con</w:t>
      </w:r>
      <w:r>
        <w:t xml:space="preserve">trast, self-concept pertains to how a person respects themselves as an individual person. Self-concept can directly impact a person’s emotional, physical, and social well-being.  Low self-esteem can cause challenges such as avoidance from family and friends during an outing, loss of appetite, or sleep deprivation. Lack of confidence in how you view your body image </w:t>
      </w:r>
      <w:r w:rsidR="00507E4C">
        <w:t>reflects</w:t>
      </w:r>
      <w:r>
        <w:t xml:space="preserve"> how a person </w:t>
      </w:r>
      <w:r>
        <w:lastRenderedPageBreak/>
        <w:t xml:space="preserve">takes care of their physical appearance, emotional well-being, and social interaction with others.  When people see themselves positively, they identify positive characteristics with body image and self-esteem Cleveland Clinic (2020).  They can embrace new norms by accepting themselves as individuals and not allowing the result of a procedure to dictate how they look or feel.     </w:t>
      </w:r>
    </w:p>
    <w:p w14:paraId="6F50266D" w14:textId="71F09715" w:rsidR="007E32D1" w:rsidRDefault="007E32D1" w:rsidP="00795E49">
      <w:pPr>
        <w:pStyle w:val="ListParagraph"/>
        <w:numPr>
          <w:ilvl w:val="0"/>
          <w:numId w:val="4"/>
        </w:numPr>
        <w:jc w:val="both"/>
      </w:pPr>
      <w:r>
        <w:t xml:space="preserve">Describe the potential impact of ostomy surgery on body image, self-concept, and sexuality for men and women. </w:t>
      </w:r>
    </w:p>
    <w:p w14:paraId="48B3DD05" w14:textId="61BFC0BA" w:rsidR="005D20CF" w:rsidRDefault="005D20CF" w:rsidP="00291D86">
      <w:pPr>
        <w:spacing w:line="480" w:lineRule="auto"/>
      </w:pPr>
      <w:r>
        <w:t xml:space="preserve">Post-stoma surgery brings about a significant change to a person’s body image.  The effect can be mentally, physically, emotionally, socially, and psychologically challenging for an individual to process, </w:t>
      </w:r>
      <w:r w:rsidR="007748AC">
        <w:t>mainly</w:t>
      </w:r>
      <w:r>
        <w:t xml:space="preserve"> depending on the developmental stage of life.  The most critical impact is having negative thoughts about how one will be perceived by others, which could lead to social awkwardness, depression, and social isolation.  The key to dealing with this issue is to be open and honest with </w:t>
      </w:r>
      <w:r w:rsidR="007748AC">
        <w:t>yourself and</w:t>
      </w:r>
      <w:r>
        <w:t xml:space="preserve"> your loved ones, friends, and spouse, letting them know how you are feeling so they can understand and process your feelings (UOAA, 2023).  Communication is key to overcoming issues with body image, while avoidance can lead to major complications.  Self-concept or low self-esteem deals with how an individual views themselves. Having low self-esteem can cause a person to devalue their self-worth or confidence</w:t>
      </w:r>
      <w:r w:rsidR="007748AC">
        <w:t>,</w:t>
      </w:r>
      <w:r>
        <w:t xml:space="preserve"> which would have a long-term effect on a person's quality of health and life.   Potential complications with sexuality with an ostomy can have an equally negative impact on both males and females alike. Both </w:t>
      </w:r>
      <w:r w:rsidR="007748AC">
        <w:t>face</w:t>
      </w:r>
      <w:r>
        <w:t xml:space="preserve"> difficulty coping with a new norm and the perception of how they will be accepted by their partner, family members, and friends.  Due to the nature of the ostomy surgery, some common side effects seem to be low libido, difficulty with sustaining an erection, and loss of desire to engage in sexual activities due to vaginal dryness and painful intercourse.</w:t>
      </w:r>
    </w:p>
    <w:p w14:paraId="70DF0779" w14:textId="3732ED25" w:rsidR="007E32D1" w:rsidRDefault="007E32D1" w:rsidP="00207336">
      <w:pPr>
        <w:ind w:left="720"/>
        <w:jc w:val="both"/>
      </w:pPr>
    </w:p>
    <w:p w14:paraId="45360DD0" w14:textId="77777777" w:rsidR="00207336" w:rsidRDefault="00925339" w:rsidP="007F2BAD">
      <w:pPr>
        <w:pStyle w:val="ListParagraph"/>
        <w:numPr>
          <w:ilvl w:val="0"/>
          <w:numId w:val="4"/>
        </w:numPr>
      </w:pPr>
      <w:r>
        <w:t>Identify safe sex considerations that should be taught to the person with an ostomy.</w:t>
      </w:r>
    </w:p>
    <w:p w14:paraId="45BCD04F" w14:textId="77777777" w:rsidR="00207336" w:rsidRDefault="00207336" w:rsidP="00207336">
      <w:pPr>
        <w:pStyle w:val="ListParagraph"/>
      </w:pPr>
    </w:p>
    <w:p w14:paraId="36D58B49" w14:textId="2129372A" w:rsidR="007F2BAD" w:rsidRDefault="007F2BAD" w:rsidP="00291D86">
      <w:pPr>
        <w:pStyle w:val="ListParagraph"/>
        <w:spacing w:line="480" w:lineRule="auto"/>
      </w:pPr>
      <w:r>
        <w:lastRenderedPageBreak/>
        <w:t xml:space="preserve">Before educating about safe sex considerations with someone with an ostomy, one must assess the individual’s baseline knowledge of what they understand they have heard or read about sexual activity after receiving an ostomy.  Afterward, missed conception can be appropriately addressed, allowing for a healthy dialogue with the individual.  Sexual functioning after receiving an ostomy due to complications from cancer, radiation therapy, or surgery of the pelvis can have a lasting impact on individual quality of life and sexuality (Carmel &amp; Scardillo, 2022).  Some considerations to consider are loss of sexual pleasure, difficulty with keeping an erection, and abnormal ejaculation in men. At the same time, women could experience painful intercourse or a loss of desire to engage in sexual activity.  Individuals should be taught that sexual pleasures can continue in the presence of an ostomy.  They should be taught not to rush back to their routine but to wait several weeks before resuming sexual activities.  This will allow the body time to heal and get acquainted with their new norm.  Additional tips: emptying the pouch before engaging in intimacy, wearing a pouch cover to be more discrete, engaging in foreplay, and using lubricants to desire vaginal dryness. Healthy conversations with their significant other to address their feelings about the new norm are essential to address any fears or misconceptions.  Lastly, offering counseling with a sex therapist with several sessions before and after surgery would be beneficial to address safe sex considerations as well. </w:t>
      </w:r>
    </w:p>
    <w:p w14:paraId="1B68D247" w14:textId="77777777" w:rsidR="00997AFA" w:rsidRDefault="00997AFA" w:rsidP="007F2BAD">
      <w:pPr>
        <w:pStyle w:val="ListParagraph"/>
        <w:jc w:val="both"/>
      </w:pPr>
      <w:r>
        <w:t xml:space="preserve">      </w:t>
      </w:r>
    </w:p>
    <w:p w14:paraId="4E1CBCAC" w14:textId="77777777" w:rsidR="007E32D1" w:rsidRDefault="007E32D1" w:rsidP="007E32D1">
      <w:pPr>
        <w:pStyle w:val="ListParagraph"/>
        <w:numPr>
          <w:ilvl w:val="0"/>
          <w:numId w:val="4"/>
        </w:numPr>
        <w:jc w:val="both"/>
      </w:pPr>
      <w:r>
        <w:t xml:space="preserve">Describe how each of the following categories can help to promote a healthy body image for the person with an ostomy. Be sure to include at least one example for each category. </w:t>
      </w:r>
    </w:p>
    <w:p w14:paraId="3F7F02BA" w14:textId="3C3CB0F4" w:rsidR="007E32D1" w:rsidRDefault="007E32D1" w:rsidP="00291D86">
      <w:pPr>
        <w:pStyle w:val="ListParagraph"/>
        <w:numPr>
          <w:ilvl w:val="1"/>
          <w:numId w:val="4"/>
        </w:numPr>
        <w:spacing w:line="480" w:lineRule="auto"/>
        <w:jc w:val="both"/>
      </w:pPr>
      <w:r>
        <w:t xml:space="preserve">Undergarments </w:t>
      </w:r>
      <w:r w:rsidR="000A2A66">
        <w:t xml:space="preserve">– Patient should </w:t>
      </w:r>
      <w:r w:rsidR="00DD1ED6">
        <w:t>be encouraged</w:t>
      </w:r>
      <w:r w:rsidR="000B383E">
        <w:t xml:space="preserve"> to wear appealing undergarments</w:t>
      </w:r>
      <w:r w:rsidR="003E20CC">
        <w:t xml:space="preserve"> </w:t>
      </w:r>
      <w:r w:rsidR="000B383E">
        <w:t xml:space="preserve">that </w:t>
      </w:r>
      <w:r w:rsidR="00415EEA">
        <w:t>complement</w:t>
      </w:r>
      <w:r w:rsidR="00DD1ED6">
        <w:t xml:space="preserve"> their body and not to avoid wearing </w:t>
      </w:r>
      <w:r w:rsidR="003E20CC">
        <w:t xml:space="preserve">those items just because they have an ostomy. </w:t>
      </w:r>
      <w:r w:rsidR="00564969">
        <w:t xml:space="preserve">If </w:t>
      </w:r>
      <w:r w:rsidR="005D005C">
        <w:t>it is</w:t>
      </w:r>
      <w:r w:rsidR="00564969">
        <w:t xml:space="preserve"> a female with an ostomy, I would </w:t>
      </w:r>
      <w:r w:rsidR="005D005C">
        <w:t xml:space="preserve">encourage her to wear </w:t>
      </w:r>
      <w:r w:rsidR="009C19CA">
        <w:t xml:space="preserve">her favorite color </w:t>
      </w:r>
      <w:r w:rsidR="005E6591">
        <w:t xml:space="preserve">or style of </w:t>
      </w:r>
      <w:r w:rsidR="00727E13">
        <w:t xml:space="preserve">undergarment that makes her feel sexy.  Offering the patient </w:t>
      </w:r>
      <w:r w:rsidR="00166BE9">
        <w:t xml:space="preserve">fashionable </w:t>
      </w:r>
      <w:r w:rsidR="004E4574">
        <w:t xml:space="preserve">magazines with the </w:t>
      </w:r>
      <w:r w:rsidR="00357590">
        <w:t xml:space="preserve">latest </w:t>
      </w:r>
      <w:r w:rsidR="00412880">
        <w:t>lingerie</w:t>
      </w:r>
      <w:r w:rsidR="00166BE9">
        <w:t xml:space="preserve"> and </w:t>
      </w:r>
      <w:r w:rsidR="00EC6FA5">
        <w:lastRenderedPageBreak/>
        <w:t>helping</w:t>
      </w:r>
      <w:r w:rsidR="00166BE9">
        <w:t xml:space="preserve"> her to choose different </w:t>
      </w:r>
      <w:r w:rsidR="008750A1">
        <w:t>styles</w:t>
      </w:r>
      <w:r w:rsidR="00EC6FA5">
        <w:t xml:space="preserve"> </w:t>
      </w:r>
      <w:r w:rsidR="00CF06EC">
        <w:t>of</w:t>
      </w:r>
      <w:r w:rsidR="00EC6FA5">
        <w:t xml:space="preserve"> </w:t>
      </w:r>
      <w:r w:rsidR="00123FBA">
        <w:t>undergarments</w:t>
      </w:r>
      <w:r w:rsidR="00A770FC">
        <w:t>,</w:t>
      </w:r>
      <w:r w:rsidR="00123FBA">
        <w:t xml:space="preserve"> such as </w:t>
      </w:r>
      <w:r w:rsidR="000757F8">
        <w:t xml:space="preserve">teddies, </w:t>
      </w:r>
      <w:r w:rsidR="00A770FC">
        <w:t>boyshorts</w:t>
      </w:r>
      <w:r w:rsidR="000F19D2">
        <w:t xml:space="preserve">, intimacy wraps, or </w:t>
      </w:r>
      <w:r w:rsidR="00BF5302">
        <w:t>cheeky panties</w:t>
      </w:r>
      <w:r w:rsidR="00F06C69">
        <w:t>,</w:t>
      </w:r>
      <w:r w:rsidR="00405D77">
        <w:t xml:space="preserve"> to name a few</w:t>
      </w:r>
      <w:r w:rsidR="00D43E31">
        <w:t>,</w:t>
      </w:r>
      <w:r w:rsidR="00405D77">
        <w:t xml:space="preserve"> to promote a healthy body image and to </w:t>
      </w:r>
      <w:r w:rsidR="00D43E31">
        <w:t>feel normal</w:t>
      </w:r>
      <w:r w:rsidR="00F06C69">
        <w:t xml:space="preserve"> (</w:t>
      </w:r>
      <w:r w:rsidR="00F06C69">
        <w:t>Hubbard et al., 2019)</w:t>
      </w:r>
      <w:r w:rsidR="00F06C69">
        <w:t xml:space="preserve">. </w:t>
      </w:r>
    </w:p>
    <w:p w14:paraId="7A3C189A" w14:textId="77777777" w:rsidR="00415EEA" w:rsidRDefault="00415EEA" w:rsidP="00291D86">
      <w:pPr>
        <w:pStyle w:val="ListParagraph"/>
        <w:spacing w:line="480" w:lineRule="auto"/>
        <w:ind w:left="1440"/>
        <w:jc w:val="both"/>
      </w:pPr>
    </w:p>
    <w:p w14:paraId="06987729" w14:textId="374B7B78" w:rsidR="007E32D1" w:rsidRDefault="007E32D1" w:rsidP="00291D86">
      <w:pPr>
        <w:pStyle w:val="ListParagraph"/>
        <w:numPr>
          <w:ilvl w:val="1"/>
          <w:numId w:val="4"/>
        </w:numPr>
        <w:spacing w:line="480" w:lineRule="auto"/>
        <w:jc w:val="both"/>
      </w:pPr>
      <w:r>
        <w:t>Odor control</w:t>
      </w:r>
      <w:r w:rsidR="00415EEA">
        <w:t xml:space="preserve"> </w:t>
      </w:r>
      <w:r w:rsidR="00734D2F">
        <w:t>–</w:t>
      </w:r>
      <w:r w:rsidR="00415EEA">
        <w:t xml:space="preserve"> </w:t>
      </w:r>
      <w:r w:rsidR="00F42F21">
        <w:t xml:space="preserve">Education is </w:t>
      </w:r>
      <w:r w:rsidR="00241CCE">
        <w:t>critical</w:t>
      </w:r>
      <w:r w:rsidR="00F42F21">
        <w:t xml:space="preserve"> for decreasing or eliminating </w:t>
      </w:r>
      <w:r w:rsidR="00241CCE">
        <w:t xml:space="preserve">odor control with an ostomy.  </w:t>
      </w:r>
      <w:r w:rsidR="00147819">
        <w:t>A correctly applied pouch should not give off any offensive odor</w:t>
      </w:r>
      <w:r w:rsidR="00041943">
        <w:t xml:space="preserve">.  </w:t>
      </w:r>
      <w:r w:rsidR="00DF5FC4">
        <w:t xml:space="preserve">Applying the Adapt </w:t>
      </w:r>
      <w:r w:rsidR="00F472C2">
        <w:t>odor eliminator inside</w:t>
      </w:r>
      <w:r w:rsidR="00C8071C">
        <w:t xml:space="preserve"> a newly applied </w:t>
      </w:r>
      <w:r w:rsidR="00F472C2">
        <w:t>pouch</w:t>
      </w:r>
      <w:r w:rsidR="00C8071C">
        <w:t xml:space="preserve"> will help control the odor</w:t>
      </w:r>
      <w:r w:rsidR="005D762F">
        <w:t xml:space="preserve"> when emptying</w:t>
      </w:r>
      <w:r w:rsidR="00FF1BB8">
        <w:t xml:space="preserve">.  The Adapt </w:t>
      </w:r>
      <w:r w:rsidR="006F0B30">
        <w:t>is activated</w:t>
      </w:r>
      <w:r w:rsidR="00523C3C">
        <w:t xml:space="preserve"> at </w:t>
      </w:r>
      <w:r w:rsidR="006F0B30">
        <w:t xml:space="preserve">the first </w:t>
      </w:r>
      <w:r w:rsidR="002C534C">
        <w:t>stool contact</w:t>
      </w:r>
      <w:r w:rsidR="006F0B30">
        <w:t xml:space="preserve"> inside the bag</w:t>
      </w:r>
      <w:r w:rsidR="002C534C">
        <w:t xml:space="preserve">, and </w:t>
      </w:r>
      <w:r w:rsidR="00A31257">
        <w:t>its</w:t>
      </w:r>
      <w:r w:rsidR="002C534C">
        <w:t xml:space="preserve"> action is to neutralize</w:t>
      </w:r>
      <w:r w:rsidR="00D64AC6">
        <w:t xml:space="preserve"> the odor.</w:t>
      </w:r>
      <w:r w:rsidR="006F0B30">
        <w:t xml:space="preserve">  </w:t>
      </w:r>
      <w:r w:rsidR="00A31257">
        <w:t xml:space="preserve">This </w:t>
      </w:r>
      <w:r w:rsidR="00144CCC">
        <w:t>can</w:t>
      </w:r>
      <w:r w:rsidR="00301D70">
        <w:t xml:space="preserve"> help </w:t>
      </w:r>
      <w:r w:rsidR="00144CCC">
        <w:t xml:space="preserve">ease </w:t>
      </w:r>
      <w:r w:rsidR="00491AD9">
        <w:t>the patient’s mind during an intimate relationship.</w:t>
      </w:r>
    </w:p>
    <w:p w14:paraId="2117AD75" w14:textId="77777777" w:rsidR="003E61F4" w:rsidRDefault="003E61F4" w:rsidP="00291D86">
      <w:pPr>
        <w:pStyle w:val="ListParagraph"/>
        <w:spacing w:line="480" w:lineRule="auto"/>
      </w:pPr>
    </w:p>
    <w:p w14:paraId="22200E5A" w14:textId="41D60E3D" w:rsidR="007E32D1" w:rsidRDefault="007E32D1" w:rsidP="00291D86">
      <w:pPr>
        <w:pStyle w:val="ListParagraph"/>
        <w:numPr>
          <w:ilvl w:val="1"/>
          <w:numId w:val="4"/>
        </w:numPr>
        <w:spacing w:line="480" w:lineRule="auto"/>
        <w:jc w:val="both"/>
      </w:pPr>
      <w:r>
        <w:t>Pouch modificati</w:t>
      </w:r>
      <w:r w:rsidR="00BF5302">
        <w:t>on</w:t>
      </w:r>
      <w:r w:rsidR="00734D2F">
        <w:t xml:space="preserve"> </w:t>
      </w:r>
      <w:r w:rsidR="00EE2334">
        <w:t>–</w:t>
      </w:r>
      <w:r w:rsidR="00734D2F">
        <w:t xml:space="preserve"> </w:t>
      </w:r>
      <w:r w:rsidR="00EE2334">
        <w:t xml:space="preserve">To boost a patient’s </w:t>
      </w:r>
      <w:r w:rsidR="00776C00">
        <w:t xml:space="preserve">self-esteem and body image.  They should be encouraged to wear </w:t>
      </w:r>
      <w:r w:rsidR="006E690A">
        <w:t xml:space="preserve">an ostomy cover to minimize frustration during intimate moments.  </w:t>
      </w:r>
      <w:r w:rsidR="00010B12">
        <w:t xml:space="preserve">Ostomy covers are available in </w:t>
      </w:r>
      <w:r w:rsidR="008949E5">
        <w:t>various</w:t>
      </w:r>
      <w:r w:rsidR="00010B12">
        <w:t xml:space="preserve"> st</w:t>
      </w:r>
      <w:r w:rsidR="000A62F8">
        <w:t xml:space="preserve">yles </w:t>
      </w:r>
      <w:r w:rsidR="00B07DD2">
        <w:t xml:space="preserve">and can provide a fashionable covering for the pouch for both </w:t>
      </w:r>
      <w:r w:rsidR="008949E5">
        <w:t>males</w:t>
      </w:r>
      <w:r w:rsidR="00B07DD2">
        <w:t xml:space="preserve"> and </w:t>
      </w:r>
      <w:r w:rsidR="008949E5">
        <w:t>females</w:t>
      </w:r>
      <w:r w:rsidR="00B07DD2">
        <w:t xml:space="preserve">.  </w:t>
      </w:r>
      <w:r w:rsidR="008949E5">
        <w:t xml:space="preserve">Another </w:t>
      </w:r>
      <w:r w:rsidR="00C71AD1">
        <w:t>example</w:t>
      </w:r>
      <w:r w:rsidR="008949E5">
        <w:t xml:space="preserve"> would be to utilize </w:t>
      </w:r>
      <w:r w:rsidR="00C71AD1">
        <w:t xml:space="preserve">an opaque pouch, which </w:t>
      </w:r>
      <w:r w:rsidR="0057404E">
        <w:t>serves</w:t>
      </w:r>
      <w:r w:rsidR="00C71AD1">
        <w:t xml:space="preserve"> </w:t>
      </w:r>
      <w:r w:rsidR="0057404E">
        <w:t>as</w:t>
      </w:r>
      <w:r w:rsidR="00C71AD1">
        <w:t xml:space="preserve"> </w:t>
      </w:r>
      <w:r w:rsidR="007D2014">
        <w:t xml:space="preserve">a </w:t>
      </w:r>
      <w:r w:rsidR="00E83F96">
        <w:t>vis</w:t>
      </w:r>
      <w:r w:rsidR="0057404E">
        <w:t xml:space="preserve">ual </w:t>
      </w:r>
      <w:r w:rsidR="00E83F96">
        <w:t>barrier</w:t>
      </w:r>
      <w:r w:rsidR="007D2014">
        <w:t xml:space="preserve">; this </w:t>
      </w:r>
      <w:r w:rsidR="009C28AA">
        <w:t xml:space="preserve">pouch </w:t>
      </w:r>
      <w:r w:rsidR="00F601EA">
        <w:t>and</w:t>
      </w:r>
      <w:r w:rsidR="009C28AA">
        <w:t xml:space="preserve"> cover should give a sense of release.</w:t>
      </w:r>
    </w:p>
    <w:p w14:paraId="42D35DD9" w14:textId="77777777" w:rsidR="007E32D1" w:rsidRDefault="007E32D1" w:rsidP="007E32D1">
      <w:pPr>
        <w:jc w:val="both"/>
      </w:pPr>
    </w:p>
    <w:p w14:paraId="41C42ECA" w14:textId="77777777" w:rsidR="007E32D1" w:rsidRDefault="007E32D1" w:rsidP="007E32D1">
      <w:pPr>
        <w:pStyle w:val="ListParagraph"/>
        <w:numPr>
          <w:ilvl w:val="0"/>
          <w:numId w:val="4"/>
        </w:numPr>
        <w:jc w:val="both"/>
      </w:pPr>
      <w:r>
        <w:t xml:space="preserve">Explain how the PLISSIT model guides the conversation on sexual intimacy. </w:t>
      </w:r>
    </w:p>
    <w:p w14:paraId="050E9068" w14:textId="32FF1518" w:rsidR="003A25D5" w:rsidRDefault="000A4800" w:rsidP="00291D86">
      <w:pPr>
        <w:spacing w:before="240" w:line="480" w:lineRule="auto"/>
      </w:pPr>
      <w:r>
        <w:t xml:space="preserve">The PLISSIT </w:t>
      </w:r>
      <w:r w:rsidR="009F7C61">
        <w:t>is a</w:t>
      </w:r>
      <w:r w:rsidR="00F103AC">
        <w:t>n assessment and intervention</w:t>
      </w:r>
      <w:r w:rsidR="009F7C61">
        <w:t xml:space="preserve"> model </w:t>
      </w:r>
      <w:r w:rsidR="00857D14">
        <w:t xml:space="preserve">designed to </w:t>
      </w:r>
      <w:r w:rsidR="00432E1B">
        <w:t xml:space="preserve">direct </w:t>
      </w:r>
      <w:r w:rsidR="00EE5499">
        <w:t xml:space="preserve">conversations </w:t>
      </w:r>
      <w:r w:rsidR="00242F57">
        <w:t xml:space="preserve">related to sexual </w:t>
      </w:r>
      <w:r w:rsidR="006139EB">
        <w:t>matters</w:t>
      </w:r>
      <w:r w:rsidR="00560095">
        <w:t xml:space="preserve"> </w:t>
      </w:r>
      <w:r w:rsidR="00560095">
        <w:t>(Carmel &amp; Scardillo, 2022)</w:t>
      </w:r>
      <w:r w:rsidR="006139EB">
        <w:t xml:space="preserve">.  </w:t>
      </w:r>
      <w:r w:rsidR="00EE5499">
        <w:t xml:space="preserve">The </w:t>
      </w:r>
      <w:r w:rsidR="008D42AD">
        <w:t xml:space="preserve">model </w:t>
      </w:r>
      <w:r w:rsidR="00253902">
        <w:t>begins</w:t>
      </w:r>
      <w:r w:rsidR="008D42AD">
        <w:t xml:space="preserve"> with the letter (P)</w:t>
      </w:r>
      <w:r w:rsidR="00253902">
        <w:t>, which stands for perm</w:t>
      </w:r>
      <w:r w:rsidR="00605F12">
        <w:t xml:space="preserve">ission. It </w:t>
      </w:r>
      <w:r w:rsidR="008D6ECE">
        <w:t>creates</w:t>
      </w:r>
      <w:r w:rsidR="00E34167">
        <w:t xml:space="preserve"> an environment </w:t>
      </w:r>
      <w:r w:rsidR="008D6ECE">
        <w:t>for patients to</w:t>
      </w:r>
      <w:r w:rsidR="005C64EB">
        <w:t xml:space="preserve"> </w:t>
      </w:r>
      <w:r w:rsidR="0098231C">
        <w:t xml:space="preserve">freely </w:t>
      </w:r>
      <w:r w:rsidR="005C64EB">
        <w:t>verbalize</w:t>
      </w:r>
      <w:r w:rsidR="008D6ECE">
        <w:t xml:space="preserve"> </w:t>
      </w:r>
      <w:r w:rsidR="00033275">
        <w:t xml:space="preserve">any </w:t>
      </w:r>
      <w:r w:rsidR="00A163C9">
        <w:t xml:space="preserve">ostomy complications </w:t>
      </w:r>
      <w:r w:rsidR="008D6ECE">
        <w:t>they may be experi</w:t>
      </w:r>
      <w:r w:rsidR="005C64EB">
        <w:t>encing</w:t>
      </w:r>
      <w:r w:rsidR="008C247F">
        <w:t>,</w:t>
      </w:r>
      <w:r w:rsidR="00D85B08">
        <w:t xml:space="preserve"> </w:t>
      </w:r>
      <w:r w:rsidR="00FC2CBE">
        <w:t xml:space="preserve">where </w:t>
      </w:r>
      <w:r w:rsidR="00D34C42">
        <w:t xml:space="preserve">the </w:t>
      </w:r>
      <w:r w:rsidR="00FC2CBE">
        <w:t xml:space="preserve">patient may </w:t>
      </w:r>
      <w:r w:rsidR="00D34C42">
        <w:t>struggle</w:t>
      </w:r>
      <w:r w:rsidR="00FC2CBE">
        <w:t xml:space="preserve"> </w:t>
      </w:r>
      <w:r w:rsidR="008C247F">
        <w:t xml:space="preserve">with </w:t>
      </w:r>
      <w:r w:rsidR="00D34C42">
        <w:t>sexual</w:t>
      </w:r>
      <w:r w:rsidR="008C247F">
        <w:t xml:space="preserve"> changes</w:t>
      </w:r>
      <w:r w:rsidR="00D34C42">
        <w:t xml:space="preserve"> </w:t>
      </w:r>
      <w:r w:rsidR="00B10F88">
        <w:t>since having an ostomy</w:t>
      </w:r>
      <w:r w:rsidR="00D34C42">
        <w:t>.</w:t>
      </w:r>
      <w:r w:rsidR="00C72792">
        <w:t xml:space="preserve">  The (LI) stands for limited </w:t>
      </w:r>
      <w:r w:rsidR="00C72792">
        <w:lastRenderedPageBreak/>
        <w:t xml:space="preserve">information.  </w:t>
      </w:r>
      <w:r w:rsidR="000B1901">
        <w:t xml:space="preserve">To </w:t>
      </w:r>
      <w:r w:rsidR="00656A72">
        <w:t xml:space="preserve">prevent anxiety, the patient is given </w:t>
      </w:r>
      <w:r w:rsidR="00F97EF2">
        <w:t xml:space="preserve">selected information </w:t>
      </w:r>
      <w:r w:rsidR="00AB6AC9">
        <w:t>r</w:t>
      </w:r>
      <w:r w:rsidR="00F97EF2">
        <w:t xml:space="preserve">egarding </w:t>
      </w:r>
      <w:r w:rsidR="000131ED">
        <w:t xml:space="preserve">the </w:t>
      </w:r>
      <w:r w:rsidR="00850C85">
        <w:t xml:space="preserve">sexual </w:t>
      </w:r>
      <w:r w:rsidR="000131ED">
        <w:t xml:space="preserve">side effects of treatment </w:t>
      </w:r>
      <w:r w:rsidR="006B262A">
        <w:t>rather than</w:t>
      </w:r>
      <w:r w:rsidR="006E1409">
        <w:t xml:space="preserve"> </w:t>
      </w:r>
      <w:r w:rsidR="00531F1B">
        <w:t xml:space="preserve">overwhelming them with </w:t>
      </w:r>
      <w:r w:rsidR="00D86611">
        <w:t xml:space="preserve">all possible side effects that </w:t>
      </w:r>
      <w:r w:rsidR="00AB6AC9">
        <w:t xml:space="preserve">they </w:t>
      </w:r>
      <w:r w:rsidR="00D86611">
        <w:t>may</w:t>
      </w:r>
      <w:r w:rsidR="00AB6AC9">
        <w:t xml:space="preserve"> not experience.</w:t>
      </w:r>
      <w:r w:rsidR="00E627E9">
        <w:t xml:space="preserve"> The (SS) stands for </w:t>
      </w:r>
      <w:r w:rsidR="00E97DF8">
        <w:t>S</w:t>
      </w:r>
      <w:r w:rsidR="00261714">
        <w:t xml:space="preserve">pecific suggestions. </w:t>
      </w:r>
      <w:r w:rsidR="004133C8">
        <w:t>An example of specific suggestions</w:t>
      </w:r>
      <w:r w:rsidR="00C817D9">
        <w:t xml:space="preserve"> </w:t>
      </w:r>
      <w:r w:rsidR="00DF2722">
        <w:t xml:space="preserve">is </w:t>
      </w:r>
      <w:r w:rsidR="00451CDC">
        <w:t xml:space="preserve">that </w:t>
      </w:r>
      <w:r w:rsidR="00C817D9">
        <w:t xml:space="preserve">the </w:t>
      </w:r>
      <w:r w:rsidR="00EB4845">
        <w:t xml:space="preserve">patient </w:t>
      </w:r>
      <w:r w:rsidR="00C817D9">
        <w:t xml:space="preserve">is experiencing odor with their ostomy.  A recommendation is to use </w:t>
      </w:r>
      <w:r w:rsidR="00DF2722">
        <w:t>an odor neutralizer to minimize the smell</w:t>
      </w:r>
      <w:r w:rsidR="00D31C0C">
        <w:t xml:space="preserve"> during int</w:t>
      </w:r>
      <w:r w:rsidR="00E97DF8">
        <w:t xml:space="preserve">imacy. The (IT) stands for Intensive therapy.  </w:t>
      </w:r>
      <w:r w:rsidR="005E5B75">
        <w:t>With intensive therapy</w:t>
      </w:r>
      <w:r w:rsidR="00823F0E">
        <w:t xml:space="preserve">, a multidisciplinary approach </w:t>
      </w:r>
      <w:r w:rsidR="00CC7610">
        <w:t xml:space="preserve">may be required to support the </w:t>
      </w:r>
      <w:r w:rsidR="004E3E21">
        <w:t>patient's</w:t>
      </w:r>
      <w:r w:rsidR="00CC7610">
        <w:t xml:space="preserve"> psychological health as it relates to </w:t>
      </w:r>
      <w:r w:rsidR="004E3E21">
        <w:t xml:space="preserve">their intimacy concerns; referral to a </w:t>
      </w:r>
      <w:r w:rsidR="00601013">
        <w:t>sex therapist</w:t>
      </w:r>
      <w:r w:rsidR="00993FBE">
        <w:t xml:space="preserve"> may be beneficial. </w:t>
      </w:r>
      <w:r w:rsidR="00601013">
        <w:t xml:space="preserve"> </w:t>
      </w:r>
      <w:r w:rsidR="000D5607">
        <w:t xml:space="preserve">This </w:t>
      </w:r>
      <w:r w:rsidR="00B111A7">
        <w:t xml:space="preserve">design is a </w:t>
      </w:r>
      <w:r w:rsidR="0023672E">
        <w:t xml:space="preserve">practical model </w:t>
      </w:r>
      <w:r w:rsidR="00A6082A">
        <w:t>for</w:t>
      </w:r>
      <w:r w:rsidR="007D0C11">
        <w:t xml:space="preserve"> developing </w:t>
      </w:r>
      <w:r w:rsidR="003A25D5">
        <w:t>education</w:t>
      </w:r>
      <w:r w:rsidR="007D0C11">
        <w:t xml:space="preserve"> sessions </w:t>
      </w:r>
      <w:r w:rsidR="00A6082A">
        <w:t>on</w:t>
      </w:r>
      <w:r w:rsidR="007D0C11">
        <w:t xml:space="preserve"> sexual </w:t>
      </w:r>
      <w:r w:rsidR="003A25D5">
        <w:t>intimacy (</w:t>
      </w:r>
      <w:r w:rsidR="003A25D5">
        <w:t>Shami</w:t>
      </w:r>
      <w:r w:rsidR="003A25D5">
        <w:t xml:space="preserve"> et al.</w:t>
      </w:r>
      <w:r w:rsidR="003A25D5">
        <w:t>,</w:t>
      </w:r>
      <w:r w:rsidR="003A25D5">
        <w:t xml:space="preserve"> </w:t>
      </w:r>
      <w:r w:rsidR="00A6082A">
        <w:t>2023).</w:t>
      </w:r>
      <w:r w:rsidR="003A25D5">
        <w:t xml:space="preserve"> </w:t>
      </w:r>
    </w:p>
    <w:p w14:paraId="726CB308" w14:textId="1AC69F1B" w:rsidR="00DA7592" w:rsidRDefault="007D0C11" w:rsidP="00E94765">
      <w:pPr>
        <w:ind w:left="360"/>
        <w:jc w:val="both"/>
      </w:pPr>
      <w:r>
        <w:t xml:space="preserve"> </w:t>
      </w:r>
    </w:p>
    <w:p w14:paraId="1E9ED22D" w14:textId="0DA65A91" w:rsidR="00B40FA0" w:rsidRDefault="007E32D1" w:rsidP="00BD1A40">
      <w:pPr>
        <w:pStyle w:val="ListParagraph"/>
        <w:numPr>
          <w:ilvl w:val="0"/>
          <w:numId w:val="4"/>
        </w:numPr>
        <w:jc w:val="both"/>
      </w:pPr>
      <w:r>
        <w:t>List the references used to develop and cite this assignment.</w:t>
      </w:r>
    </w:p>
    <w:p w14:paraId="01BE2A66" w14:textId="69664071" w:rsidR="00C47890" w:rsidRDefault="00C47890" w:rsidP="00866D70">
      <w:pPr>
        <w:pStyle w:val="ListParagraph"/>
        <w:jc w:val="center"/>
      </w:pPr>
      <w:r>
        <w:t>Reference</w:t>
      </w:r>
      <w:r w:rsidR="005407DE">
        <w:t>s</w:t>
      </w:r>
    </w:p>
    <w:p w14:paraId="76567FA5" w14:textId="77777777" w:rsidR="00C47890" w:rsidRDefault="00C47890" w:rsidP="00C47890">
      <w:pPr>
        <w:pStyle w:val="ListParagraph"/>
      </w:pPr>
    </w:p>
    <w:p w14:paraId="1999E38D" w14:textId="247AEE3C" w:rsidR="00E144EC" w:rsidRDefault="00E144EC" w:rsidP="005407DE">
      <w:pPr>
        <w:spacing w:before="240"/>
        <w:ind w:left="720" w:hanging="720"/>
      </w:pPr>
      <w:r>
        <w:t>Cleveland Clinic (2021)</w:t>
      </w:r>
      <w:r w:rsidR="006B677D">
        <w:t xml:space="preserve">. </w:t>
      </w:r>
      <w:r>
        <w:t xml:space="preserve">September 14. Pudendal nerve function. </w:t>
      </w:r>
      <w:hyperlink r:id="rId7" w:history="1">
        <w:r w:rsidRPr="00A11F18">
          <w:rPr>
            <w:rStyle w:val="Hyperlink"/>
          </w:rPr>
          <w:t>https://my.clevelandclinic.org/health/body/22000-pudendal-nerve</w:t>
        </w:r>
      </w:hyperlink>
    </w:p>
    <w:p w14:paraId="36D82922" w14:textId="4651E238" w:rsidR="009D0FF4" w:rsidRDefault="009D0FF4" w:rsidP="005407DE">
      <w:pPr>
        <w:spacing w:before="240"/>
        <w:ind w:left="720" w:hanging="720"/>
      </w:pPr>
      <w:r>
        <w:t>Cleveland Clinic (2020)</w:t>
      </w:r>
      <w:r w:rsidR="006B677D">
        <w:t xml:space="preserve">. </w:t>
      </w:r>
      <w:r>
        <w:t xml:space="preserve"> November 24. Fostering a positive self-image. </w:t>
      </w:r>
      <w:hyperlink r:id="rId8" w:history="1">
        <w:r w:rsidRPr="00A11F18">
          <w:rPr>
            <w:rStyle w:val="Hyperlink"/>
          </w:rPr>
          <w:t>https://my.clevelandclinic.org/health/articles/12942-fostering-a-positive-self-image</w:t>
        </w:r>
      </w:hyperlink>
    </w:p>
    <w:p w14:paraId="12A00FE7" w14:textId="5E91E954" w:rsidR="005D05DD" w:rsidRDefault="005D05DD" w:rsidP="005407DE">
      <w:pPr>
        <w:spacing w:before="240"/>
        <w:ind w:left="720" w:hanging="720"/>
      </w:pPr>
      <w:r>
        <w:t>United Ostomy Association of America (2023)</w:t>
      </w:r>
      <w:r w:rsidR="006B677D">
        <w:t xml:space="preserve">. </w:t>
      </w:r>
      <w:r>
        <w:t xml:space="preserve">September 9. Emotional concerns. </w:t>
      </w:r>
      <w:hyperlink r:id="rId9" w:history="1">
        <w:r w:rsidRPr="00A11F18">
          <w:rPr>
            <w:rStyle w:val="Hyperlink"/>
          </w:rPr>
          <w:t>https://www.ostomy.org/emotional-issues/</w:t>
        </w:r>
      </w:hyperlink>
    </w:p>
    <w:p w14:paraId="3906F617" w14:textId="23C635B7" w:rsidR="00A632FE" w:rsidRDefault="00A632FE" w:rsidP="005407DE">
      <w:pPr>
        <w:pStyle w:val="NormalWeb"/>
        <w:ind w:left="720" w:hanging="720"/>
        <w:rPr>
          <w:rFonts w:asciiTheme="minorHAnsi" w:hAnsiTheme="minorHAnsi" w:cstheme="minorHAnsi"/>
        </w:rPr>
      </w:pPr>
      <w:r>
        <w:rPr>
          <w:rFonts w:asciiTheme="minorHAnsi" w:hAnsiTheme="minorHAnsi" w:cstheme="minorHAnsi"/>
        </w:rPr>
        <w:t xml:space="preserve">Carmel, J., &amp; Scardillo, J. (2022). Adaptations, rehabilitation, and long-term care management issues. </w:t>
      </w:r>
      <w:r w:rsidRPr="0000109A">
        <w:rPr>
          <w:rFonts w:asciiTheme="minorHAnsi" w:hAnsiTheme="minorHAnsi" w:cstheme="minorHAnsi"/>
        </w:rPr>
        <w:t>In</w:t>
      </w:r>
      <w:r>
        <w:rPr>
          <w:rFonts w:asciiTheme="minorHAnsi" w:hAnsiTheme="minorHAnsi" w:cstheme="minorHAnsi"/>
        </w:rPr>
        <w:t xml:space="preserve"> J. </w:t>
      </w:r>
      <w:r w:rsidRPr="0000109A">
        <w:rPr>
          <w:rFonts w:asciiTheme="minorHAnsi" w:hAnsiTheme="minorHAnsi" w:cstheme="minorHAnsi"/>
        </w:rPr>
        <w:t xml:space="preserve">Carmel, </w:t>
      </w:r>
      <w:r>
        <w:rPr>
          <w:rFonts w:asciiTheme="minorHAnsi" w:hAnsiTheme="minorHAnsi" w:cstheme="minorHAnsi"/>
        </w:rPr>
        <w:t xml:space="preserve">J. </w:t>
      </w:r>
      <w:r w:rsidRPr="0000109A">
        <w:rPr>
          <w:rFonts w:asciiTheme="minorHAnsi" w:hAnsiTheme="minorHAnsi" w:cstheme="minorHAnsi"/>
        </w:rPr>
        <w:t xml:space="preserve">Colwell, &amp; </w:t>
      </w:r>
      <w:r>
        <w:rPr>
          <w:rFonts w:asciiTheme="minorHAnsi" w:hAnsiTheme="minorHAnsi" w:cstheme="minorHAnsi"/>
        </w:rPr>
        <w:t xml:space="preserve">M. T. </w:t>
      </w:r>
      <w:r w:rsidRPr="0000109A">
        <w:rPr>
          <w:rFonts w:asciiTheme="minorHAnsi" w:hAnsiTheme="minorHAnsi" w:cstheme="minorHAnsi"/>
        </w:rPr>
        <w:t xml:space="preserve">Goldberg (Eds.), </w:t>
      </w:r>
      <w:r w:rsidRPr="0000109A">
        <w:rPr>
          <w:rStyle w:val="Emphasis"/>
          <w:rFonts w:asciiTheme="minorHAnsi" w:hAnsiTheme="minorHAnsi" w:cstheme="minorHAnsi"/>
        </w:rPr>
        <w:t>Wound, Ostomy, and Continence Nurses Society core curriculum: Ostomy management </w:t>
      </w:r>
      <w:r w:rsidRPr="0000109A">
        <w:rPr>
          <w:rFonts w:asciiTheme="minorHAnsi" w:hAnsiTheme="minorHAnsi" w:cstheme="minorHAnsi"/>
        </w:rPr>
        <w:t xml:space="preserve">(2nd ed., pp. </w:t>
      </w:r>
      <w:r>
        <w:rPr>
          <w:rFonts w:asciiTheme="minorHAnsi" w:hAnsiTheme="minorHAnsi" w:cstheme="minorHAnsi"/>
        </w:rPr>
        <w:t>212-213</w:t>
      </w:r>
      <w:r w:rsidRPr="0000109A">
        <w:rPr>
          <w:rFonts w:asciiTheme="minorHAnsi" w:hAnsiTheme="minorHAnsi" w:cstheme="minorHAnsi"/>
        </w:rPr>
        <w:t>). Wolters Kluwer.</w:t>
      </w:r>
    </w:p>
    <w:p w14:paraId="3D519F2D" w14:textId="34BE48F0" w:rsidR="00C47890" w:rsidRDefault="00C47890" w:rsidP="005407DE">
      <w:pPr>
        <w:ind w:left="720" w:hanging="720"/>
      </w:pPr>
      <w:r>
        <w:t xml:space="preserve">Hubbard, G., Taylor, C., Munro, J., Dames, N., Goodman, W., Oliphant, R., &amp; Beeken, R. (2019). Experiences of support garments following bowel stoma formation: analysis of free-text responses in a cross-sectional survey. </w:t>
      </w:r>
      <w:r w:rsidRPr="00FB58F9">
        <w:rPr>
          <w:i/>
          <w:iCs/>
        </w:rPr>
        <w:t>BMJ Open Gastroenterology</w:t>
      </w:r>
      <w:r>
        <w:t xml:space="preserve">, 6(1), e000291–e000291. </w:t>
      </w:r>
      <w:hyperlink r:id="rId10" w:history="1">
        <w:r w:rsidRPr="00A11F18">
          <w:rPr>
            <w:rStyle w:val="Hyperlink"/>
          </w:rPr>
          <w:t>https://doi.org/10.1136/bmjgast-2019-000291</w:t>
        </w:r>
      </w:hyperlink>
      <w:r>
        <w:t xml:space="preserve">    </w:t>
      </w:r>
    </w:p>
    <w:p w14:paraId="57E54D0C" w14:textId="05366AD2" w:rsidR="00F55C00" w:rsidRDefault="00F55C00" w:rsidP="005407DE">
      <w:pPr>
        <w:spacing w:before="240"/>
        <w:ind w:left="720" w:hanging="720"/>
      </w:pPr>
      <w:r>
        <w:lastRenderedPageBreak/>
        <w:t xml:space="preserve">Shami, M., Montazeri, A., Faezi, S. T., &amp; Behboodi Moghadam, Z. (2023). The effect of sexual counseling based on ex-plissit model on improving the sexual function of married women with systemic lupus erythematosus: A randomized controlled trial. </w:t>
      </w:r>
      <w:r w:rsidRPr="00CA7AAC">
        <w:rPr>
          <w:i/>
          <w:iCs/>
        </w:rPr>
        <w:t>Sexuality and Disability</w:t>
      </w:r>
      <w:r>
        <w:t>, 41(2), 451</w:t>
      </w:r>
      <w:r>
        <w:rPr>
          <w:rFonts w:ascii="Calibri" w:hAnsi="Calibri" w:cs="Calibri"/>
        </w:rPr>
        <w:t>–</w:t>
      </w:r>
      <w:r>
        <w:t xml:space="preserve">466. </w:t>
      </w:r>
      <w:hyperlink r:id="rId11" w:history="1">
        <w:r w:rsidRPr="00A11F18">
          <w:rPr>
            <w:rStyle w:val="Hyperlink"/>
          </w:rPr>
          <w:t>https://doi.org/10.1007/s11195-023-09776-0</w:t>
        </w:r>
      </w:hyperlink>
    </w:p>
    <w:p w14:paraId="1FED8594" w14:textId="77777777" w:rsidR="00F55C00" w:rsidRDefault="00F55C00" w:rsidP="00F55C00">
      <w:pPr>
        <w:spacing w:before="240"/>
      </w:pPr>
    </w:p>
    <w:p w14:paraId="2E53976F" w14:textId="77777777" w:rsidR="00F55C00" w:rsidRDefault="00F55C00" w:rsidP="00FB58F9"/>
    <w:p w14:paraId="0870384E" w14:textId="7F54599C" w:rsidR="00C47890" w:rsidRDefault="00C47890" w:rsidP="00C47890">
      <w:pPr>
        <w:pStyle w:val="ListParagraph"/>
      </w:pPr>
    </w:p>
    <w:p w14:paraId="2D3871DC" w14:textId="77777777" w:rsidR="00BD1A40" w:rsidRDefault="00BD1A40" w:rsidP="00C47890">
      <w:pPr>
        <w:jc w:val="both"/>
      </w:pPr>
    </w:p>
    <w:sectPr w:rsidR="00BD1A40" w:rsidSect="00B40FA0">
      <w:headerReference w:type="default" r:id="rId12"/>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099CE" w14:textId="77777777" w:rsidR="00C246CC" w:rsidRDefault="00C246CC" w:rsidP="00B40FA0">
      <w:pPr>
        <w:spacing w:after="0" w:line="240" w:lineRule="auto"/>
      </w:pPr>
      <w:r>
        <w:separator/>
      </w:r>
    </w:p>
  </w:endnote>
  <w:endnote w:type="continuationSeparator" w:id="0">
    <w:p w14:paraId="3B8970F1" w14:textId="77777777" w:rsidR="00C246CC" w:rsidRDefault="00C246CC" w:rsidP="00B40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D6FA0" w14:textId="77777777" w:rsidR="00B332CF" w:rsidRDefault="00B332CF">
    <w:pPr>
      <w:pStyle w:val="Footer"/>
    </w:pPr>
    <w:r>
      <w:t>R.B. Turnbull, Jr. MD School of WOC Nursing Education</w:t>
    </w:r>
  </w:p>
  <w:p w14:paraId="38201835" w14:textId="77777777" w:rsidR="00B332CF" w:rsidRDefault="00B33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83022" w14:textId="77777777" w:rsidR="00C246CC" w:rsidRDefault="00C246CC" w:rsidP="00B40FA0">
      <w:pPr>
        <w:spacing w:after="0" w:line="240" w:lineRule="auto"/>
      </w:pPr>
      <w:r>
        <w:separator/>
      </w:r>
    </w:p>
  </w:footnote>
  <w:footnote w:type="continuationSeparator" w:id="0">
    <w:p w14:paraId="6946D203" w14:textId="77777777" w:rsidR="00C246CC" w:rsidRDefault="00C246CC" w:rsidP="00B40F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6F75A" w14:textId="77777777" w:rsidR="00B40FA0" w:rsidRDefault="00B332CF">
    <w:pPr>
      <w:pStyle w:val="Header"/>
      <w:rPr>
        <w:b/>
        <w:color w:val="000000" w:themeColor="text1"/>
      </w:rPr>
    </w:pPr>
    <w:r>
      <w:rPr>
        <w:noProof/>
      </w:rPr>
      <w:drawing>
        <wp:anchor distT="0" distB="0" distL="114300" distR="114300" simplePos="0" relativeHeight="251661312" behindDoc="1" locked="0" layoutInCell="1" allowOverlap="1" wp14:anchorId="738B3AE9" wp14:editId="3F5FF1E8">
          <wp:simplePos x="0" y="0"/>
          <wp:positionH relativeFrom="margin">
            <wp:align>right</wp:align>
          </wp:positionH>
          <wp:positionV relativeFrom="paragraph">
            <wp:posOffset>-198120</wp:posOffset>
          </wp:positionV>
          <wp:extent cx="1096010" cy="330200"/>
          <wp:effectExtent l="0" t="0" r="8890" b="0"/>
          <wp:wrapTight wrapText="bothSides">
            <wp:wrapPolygon edited="0">
              <wp:start x="0" y="0"/>
              <wp:lineTo x="0" y="19938"/>
              <wp:lineTo x="21400" y="19938"/>
              <wp:lineTo x="2140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eve Clinic logo.JPG"/>
                  <pic:cNvPicPr/>
                </pic:nvPicPr>
                <pic:blipFill>
                  <a:blip r:embed="rId1">
                    <a:extLst>
                      <a:ext uri="{28A0092B-C50C-407E-A947-70E740481C1C}">
                        <a14:useLocalDpi xmlns:a14="http://schemas.microsoft.com/office/drawing/2010/main" val="0"/>
                      </a:ext>
                    </a:extLst>
                  </a:blip>
                  <a:stretch>
                    <a:fillRect/>
                  </a:stretch>
                </pic:blipFill>
                <pic:spPr>
                  <a:xfrm>
                    <a:off x="0" y="0"/>
                    <a:ext cx="1096010" cy="330200"/>
                  </a:xfrm>
                  <a:prstGeom prst="rect">
                    <a:avLst/>
                  </a:prstGeom>
                </pic:spPr>
              </pic:pic>
            </a:graphicData>
          </a:graphic>
          <wp14:sizeRelH relativeFrom="page">
            <wp14:pctWidth>0</wp14:pctWidth>
          </wp14:sizeRelH>
          <wp14:sizeRelV relativeFrom="page">
            <wp14:pctHeight>0</wp14:pctHeight>
          </wp14:sizeRelV>
        </wp:anchor>
      </w:drawing>
    </w:r>
    <w:sdt>
      <w:sdtPr>
        <w:id w:val="-450714576"/>
        <w:docPartObj>
          <w:docPartGallery w:val="Page Numbers (Margins)"/>
          <w:docPartUnique/>
        </w:docPartObj>
      </w:sdtPr>
      <w:sdtContent>
        <w:r w:rsidR="00436B53">
          <w:rPr>
            <w:noProof/>
          </w:rPr>
          <mc:AlternateContent>
            <mc:Choice Requires="wps">
              <w:drawing>
                <wp:anchor distT="0" distB="0" distL="114300" distR="114300" simplePos="0" relativeHeight="251659264" behindDoc="0" locked="0" layoutInCell="0" allowOverlap="1" wp14:anchorId="5ED03575" wp14:editId="749FC415">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26020" w14:textId="77777777" w:rsidR="00436B53" w:rsidRDefault="00436B5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7E32D1" w:rsidRPr="007E32D1">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ED03575"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30326020" w14:textId="77777777" w:rsidR="00436B53" w:rsidRDefault="00436B5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7E32D1" w:rsidRPr="007E32D1">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C77E4D">
      <w:rPr>
        <w:b/>
        <w:color w:val="000000" w:themeColor="text1"/>
      </w:rPr>
      <w:t>Body Image and Sexual Function for the Patient with an Ostomy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F582B"/>
    <w:multiLevelType w:val="hybridMultilevel"/>
    <w:tmpl w:val="796EE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C707C"/>
    <w:multiLevelType w:val="hybridMultilevel"/>
    <w:tmpl w:val="36826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3125E"/>
    <w:multiLevelType w:val="hybridMultilevel"/>
    <w:tmpl w:val="89BC9880"/>
    <w:lvl w:ilvl="0" w:tplc="85DE38A6">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6B0940"/>
    <w:multiLevelType w:val="hybridMultilevel"/>
    <w:tmpl w:val="9EC8F8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7316191">
    <w:abstractNumId w:val="2"/>
  </w:num>
  <w:num w:numId="2" w16cid:durableId="18824263">
    <w:abstractNumId w:val="1"/>
  </w:num>
  <w:num w:numId="3" w16cid:durableId="781994598">
    <w:abstractNumId w:val="0"/>
  </w:num>
  <w:num w:numId="4" w16cid:durableId="1453134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FA0"/>
    <w:rsid w:val="00010B12"/>
    <w:rsid w:val="000131ED"/>
    <w:rsid w:val="00016BF1"/>
    <w:rsid w:val="00033275"/>
    <w:rsid w:val="00041943"/>
    <w:rsid w:val="00072C32"/>
    <w:rsid w:val="000757F8"/>
    <w:rsid w:val="000A2A66"/>
    <w:rsid w:val="000A4800"/>
    <w:rsid w:val="000A62F8"/>
    <w:rsid w:val="000B1901"/>
    <w:rsid w:val="000B383E"/>
    <w:rsid w:val="000B3C91"/>
    <w:rsid w:val="000D5607"/>
    <w:rsid w:val="000D6477"/>
    <w:rsid w:val="000E4E7A"/>
    <w:rsid w:val="000F19D2"/>
    <w:rsid w:val="00110DAA"/>
    <w:rsid w:val="00123FBA"/>
    <w:rsid w:val="001434A6"/>
    <w:rsid w:val="00144CCC"/>
    <w:rsid w:val="00147819"/>
    <w:rsid w:val="00153C65"/>
    <w:rsid w:val="00166BE9"/>
    <w:rsid w:val="001848E9"/>
    <w:rsid w:val="0019595E"/>
    <w:rsid w:val="001B3AEE"/>
    <w:rsid w:val="001D32AE"/>
    <w:rsid w:val="00202FE7"/>
    <w:rsid w:val="00205A85"/>
    <w:rsid w:val="00207336"/>
    <w:rsid w:val="0021612E"/>
    <w:rsid w:val="0023672E"/>
    <w:rsid w:val="0023699A"/>
    <w:rsid w:val="0024027F"/>
    <w:rsid w:val="00241CCE"/>
    <w:rsid w:val="00242E3B"/>
    <w:rsid w:val="00242F57"/>
    <w:rsid w:val="00253902"/>
    <w:rsid w:val="00261714"/>
    <w:rsid w:val="00272ED9"/>
    <w:rsid w:val="00282D37"/>
    <w:rsid w:val="00286F10"/>
    <w:rsid w:val="00291D86"/>
    <w:rsid w:val="002A0F6C"/>
    <w:rsid w:val="002A7298"/>
    <w:rsid w:val="002C534C"/>
    <w:rsid w:val="002C77C2"/>
    <w:rsid w:val="00301D70"/>
    <w:rsid w:val="003063DF"/>
    <w:rsid w:val="00347CB3"/>
    <w:rsid w:val="00357590"/>
    <w:rsid w:val="003604BA"/>
    <w:rsid w:val="00366CF2"/>
    <w:rsid w:val="003A0EB8"/>
    <w:rsid w:val="003A25D5"/>
    <w:rsid w:val="003A6C1E"/>
    <w:rsid w:val="003A73B0"/>
    <w:rsid w:val="003D2971"/>
    <w:rsid w:val="003E20CC"/>
    <w:rsid w:val="003E55FA"/>
    <w:rsid w:val="003E61F4"/>
    <w:rsid w:val="003E7D65"/>
    <w:rsid w:val="004001E0"/>
    <w:rsid w:val="00405D77"/>
    <w:rsid w:val="00412880"/>
    <w:rsid w:val="00412AB2"/>
    <w:rsid w:val="004133C8"/>
    <w:rsid w:val="00415EEA"/>
    <w:rsid w:val="00416AA5"/>
    <w:rsid w:val="00432E1B"/>
    <w:rsid w:val="00436B53"/>
    <w:rsid w:val="00443D64"/>
    <w:rsid w:val="004454CB"/>
    <w:rsid w:val="00446ED1"/>
    <w:rsid w:val="00451CDC"/>
    <w:rsid w:val="00452CD3"/>
    <w:rsid w:val="00470746"/>
    <w:rsid w:val="0047317F"/>
    <w:rsid w:val="00491AD9"/>
    <w:rsid w:val="004E3E21"/>
    <w:rsid w:val="004E4574"/>
    <w:rsid w:val="00502933"/>
    <w:rsid w:val="00507E4C"/>
    <w:rsid w:val="00523C3C"/>
    <w:rsid w:val="00531F1B"/>
    <w:rsid w:val="005407DE"/>
    <w:rsid w:val="00544A7B"/>
    <w:rsid w:val="00557C84"/>
    <w:rsid w:val="00560095"/>
    <w:rsid w:val="00560C51"/>
    <w:rsid w:val="00564969"/>
    <w:rsid w:val="0057404E"/>
    <w:rsid w:val="005816FE"/>
    <w:rsid w:val="0058347E"/>
    <w:rsid w:val="00597FF0"/>
    <w:rsid w:val="005A3045"/>
    <w:rsid w:val="005C64EB"/>
    <w:rsid w:val="005C6EA5"/>
    <w:rsid w:val="005D005C"/>
    <w:rsid w:val="005D05DD"/>
    <w:rsid w:val="005D20CF"/>
    <w:rsid w:val="005D32F7"/>
    <w:rsid w:val="005D762F"/>
    <w:rsid w:val="005E5B75"/>
    <w:rsid w:val="005E5C6F"/>
    <w:rsid w:val="005E6591"/>
    <w:rsid w:val="00601013"/>
    <w:rsid w:val="00605F12"/>
    <w:rsid w:val="0060688F"/>
    <w:rsid w:val="006139EB"/>
    <w:rsid w:val="00613D90"/>
    <w:rsid w:val="00621AD4"/>
    <w:rsid w:val="0064475D"/>
    <w:rsid w:val="00646E42"/>
    <w:rsid w:val="00656A72"/>
    <w:rsid w:val="006967D8"/>
    <w:rsid w:val="006A0099"/>
    <w:rsid w:val="006A2EC4"/>
    <w:rsid w:val="006A54B3"/>
    <w:rsid w:val="006B0FB3"/>
    <w:rsid w:val="006B262A"/>
    <w:rsid w:val="006B677D"/>
    <w:rsid w:val="006C4590"/>
    <w:rsid w:val="006E0811"/>
    <w:rsid w:val="006E1409"/>
    <w:rsid w:val="006E690A"/>
    <w:rsid w:val="006F0B30"/>
    <w:rsid w:val="006F583C"/>
    <w:rsid w:val="00705AEB"/>
    <w:rsid w:val="00713791"/>
    <w:rsid w:val="00727E13"/>
    <w:rsid w:val="00734149"/>
    <w:rsid w:val="00734D2F"/>
    <w:rsid w:val="00735A01"/>
    <w:rsid w:val="00772E57"/>
    <w:rsid w:val="007748AC"/>
    <w:rsid w:val="00776C00"/>
    <w:rsid w:val="00795E49"/>
    <w:rsid w:val="007C19F8"/>
    <w:rsid w:val="007D0C11"/>
    <w:rsid w:val="007D2014"/>
    <w:rsid w:val="007E32D1"/>
    <w:rsid w:val="007E654D"/>
    <w:rsid w:val="007F2BAD"/>
    <w:rsid w:val="00807D9D"/>
    <w:rsid w:val="0081661E"/>
    <w:rsid w:val="00816AA3"/>
    <w:rsid w:val="00823F0E"/>
    <w:rsid w:val="00825BA4"/>
    <w:rsid w:val="00850C85"/>
    <w:rsid w:val="00853731"/>
    <w:rsid w:val="00857D14"/>
    <w:rsid w:val="00866D70"/>
    <w:rsid w:val="008750A1"/>
    <w:rsid w:val="008949E5"/>
    <w:rsid w:val="008A2DC4"/>
    <w:rsid w:val="008C247F"/>
    <w:rsid w:val="008C5AF4"/>
    <w:rsid w:val="008D42AD"/>
    <w:rsid w:val="008D6ECE"/>
    <w:rsid w:val="008F1277"/>
    <w:rsid w:val="00911936"/>
    <w:rsid w:val="00925339"/>
    <w:rsid w:val="00925AC7"/>
    <w:rsid w:val="0095773C"/>
    <w:rsid w:val="0098231C"/>
    <w:rsid w:val="00993FBE"/>
    <w:rsid w:val="00997AFA"/>
    <w:rsid w:val="009B2B98"/>
    <w:rsid w:val="009B726E"/>
    <w:rsid w:val="009C19CA"/>
    <w:rsid w:val="009C28AA"/>
    <w:rsid w:val="009C6792"/>
    <w:rsid w:val="009D0FF4"/>
    <w:rsid w:val="009D756F"/>
    <w:rsid w:val="009E483A"/>
    <w:rsid w:val="009F7C61"/>
    <w:rsid w:val="00A04913"/>
    <w:rsid w:val="00A10BE6"/>
    <w:rsid w:val="00A163C9"/>
    <w:rsid w:val="00A2339A"/>
    <w:rsid w:val="00A31257"/>
    <w:rsid w:val="00A6082A"/>
    <w:rsid w:val="00A632FE"/>
    <w:rsid w:val="00A770FC"/>
    <w:rsid w:val="00AA1E73"/>
    <w:rsid w:val="00AB6AC9"/>
    <w:rsid w:val="00AE77F7"/>
    <w:rsid w:val="00AF5BEE"/>
    <w:rsid w:val="00B07DD2"/>
    <w:rsid w:val="00B10F88"/>
    <w:rsid w:val="00B111A7"/>
    <w:rsid w:val="00B2246F"/>
    <w:rsid w:val="00B332CF"/>
    <w:rsid w:val="00B40FA0"/>
    <w:rsid w:val="00B67F3B"/>
    <w:rsid w:val="00B71684"/>
    <w:rsid w:val="00B915F4"/>
    <w:rsid w:val="00BD1A40"/>
    <w:rsid w:val="00BF5302"/>
    <w:rsid w:val="00C05505"/>
    <w:rsid w:val="00C069DB"/>
    <w:rsid w:val="00C225B3"/>
    <w:rsid w:val="00C246CC"/>
    <w:rsid w:val="00C45372"/>
    <w:rsid w:val="00C47890"/>
    <w:rsid w:val="00C65E76"/>
    <w:rsid w:val="00C71AD1"/>
    <w:rsid w:val="00C72792"/>
    <w:rsid w:val="00C77E4D"/>
    <w:rsid w:val="00C8071C"/>
    <w:rsid w:val="00C817D9"/>
    <w:rsid w:val="00C83FFD"/>
    <w:rsid w:val="00CB5031"/>
    <w:rsid w:val="00CC4DC1"/>
    <w:rsid w:val="00CC7610"/>
    <w:rsid w:val="00CD3A55"/>
    <w:rsid w:val="00CE2576"/>
    <w:rsid w:val="00CE2B7D"/>
    <w:rsid w:val="00CE734D"/>
    <w:rsid w:val="00CF06EC"/>
    <w:rsid w:val="00D1402E"/>
    <w:rsid w:val="00D31C0C"/>
    <w:rsid w:val="00D3217E"/>
    <w:rsid w:val="00D34C42"/>
    <w:rsid w:val="00D43E31"/>
    <w:rsid w:val="00D542A7"/>
    <w:rsid w:val="00D64AC6"/>
    <w:rsid w:val="00D72BC8"/>
    <w:rsid w:val="00D75214"/>
    <w:rsid w:val="00D839B0"/>
    <w:rsid w:val="00D85B08"/>
    <w:rsid w:val="00D86611"/>
    <w:rsid w:val="00DA7592"/>
    <w:rsid w:val="00DD1ED6"/>
    <w:rsid w:val="00DE3646"/>
    <w:rsid w:val="00DE4BDC"/>
    <w:rsid w:val="00DE5E67"/>
    <w:rsid w:val="00DF2722"/>
    <w:rsid w:val="00DF575A"/>
    <w:rsid w:val="00DF5FC4"/>
    <w:rsid w:val="00E144EC"/>
    <w:rsid w:val="00E34167"/>
    <w:rsid w:val="00E44CF4"/>
    <w:rsid w:val="00E627E9"/>
    <w:rsid w:val="00E83F96"/>
    <w:rsid w:val="00E94765"/>
    <w:rsid w:val="00E97DF8"/>
    <w:rsid w:val="00EB4845"/>
    <w:rsid w:val="00EB7DBC"/>
    <w:rsid w:val="00EC3F21"/>
    <w:rsid w:val="00EC6FA5"/>
    <w:rsid w:val="00EE2334"/>
    <w:rsid w:val="00EE5499"/>
    <w:rsid w:val="00EF1C10"/>
    <w:rsid w:val="00EF4023"/>
    <w:rsid w:val="00F06C69"/>
    <w:rsid w:val="00F103AC"/>
    <w:rsid w:val="00F14DFD"/>
    <w:rsid w:val="00F23E37"/>
    <w:rsid w:val="00F42F21"/>
    <w:rsid w:val="00F472C2"/>
    <w:rsid w:val="00F55C00"/>
    <w:rsid w:val="00F601EA"/>
    <w:rsid w:val="00F81A40"/>
    <w:rsid w:val="00F95A31"/>
    <w:rsid w:val="00F97EF2"/>
    <w:rsid w:val="00FB58F9"/>
    <w:rsid w:val="00FC2CBE"/>
    <w:rsid w:val="00FF1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753CB"/>
  <w15:chartTrackingRefBased/>
  <w15:docId w15:val="{34E72D5C-C4BE-4C50-9FB0-A1C9BBA48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0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0FA0"/>
    <w:pPr>
      <w:ind w:left="720"/>
      <w:contextualSpacing/>
    </w:pPr>
  </w:style>
  <w:style w:type="paragraph" w:styleId="Header">
    <w:name w:val="header"/>
    <w:basedOn w:val="Normal"/>
    <w:link w:val="HeaderChar"/>
    <w:uiPriority w:val="99"/>
    <w:unhideWhenUsed/>
    <w:rsid w:val="00B40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FA0"/>
  </w:style>
  <w:style w:type="paragraph" w:styleId="Footer">
    <w:name w:val="footer"/>
    <w:basedOn w:val="Normal"/>
    <w:link w:val="FooterChar"/>
    <w:uiPriority w:val="99"/>
    <w:unhideWhenUsed/>
    <w:rsid w:val="00B40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FA0"/>
  </w:style>
  <w:style w:type="character" w:styleId="Hyperlink">
    <w:name w:val="Hyperlink"/>
    <w:basedOn w:val="DefaultParagraphFont"/>
    <w:uiPriority w:val="99"/>
    <w:unhideWhenUsed/>
    <w:rsid w:val="00C47890"/>
    <w:rPr>
      <w:color w:val="0563C1" w:themeColor="hyperlink"/>
      <w:u w:val="single"/>
    </w:rPr>
  </w:style>
  <w:style w:type="character" w:styleId="Emphasis">
    <w:name w:val="Emphasis"/>
    <w:basedOn w:val="DefaultParagraphFont"/>
    <w:uiPriority w:val="20"/>
    <w:qFormat/>
    <w:rsid w:val="00A632FE"/>
    <w:rPr>
      <w:i/>
      <w:iCs/>
    </w:rPr>
  </w:style>
  <w:style w:type="paragraph" w:styleId="NormalWeb">
    <w:name w:val="Normal (Web)"/>
    <w:basedOn w:val="Normal"/>
    <w:uiPriority w:val="99"/>
    <w:semiHidden/>
    <w:unhideWhenUsed/>
    <w:rsid w:val="00A632F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55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clevelandclinic.org/health/articles/12942-fostering-a-positive-self-imag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y.clevelandclinic.org/health/body/22000-pudendal-nerv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1195-023-09776-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136/bmjgast-2019-000291" TargetMode="External"/><Relationship Id="rId4" Type="http://schemas.openxmlformats.org/officeDocument/2006/relationships/webSettings" Target="webSettings.xml"/><Relationship Id="rId9" Type="http://schemas.openxmlformats.org/officeDocument/2006/relationships/hyperlink" Target="https://www.ostomy.org/emotional-issu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1807</Words>
  <Characters>10259</Characters>
  <Application>Microsoft Office Word</Application>
  <DocSecurity>0</DocSecurity>
  <Lines>172</Lines>
  <Paragraphs>49</Paragraphs>
  <ScaleCrop>false</ScaleCrop>
  <HeadingPairs>
    <vt:vector size="2" baseType="variant">
      <vt:variant>
        <vt:lpstr>Title</vt:lpstr>
      </vt:variant>
      <vt:variant>
        <vt:i4>1</vt:i4>
      </vt:variant>
    </vt:vector>
  </HeadingPairs>
  <TitlesOfParts>
    <vt:vector size="1" baseType="lpstr">
      <vt:lpstr/>
    </vt:vector>
  </TitlesOfParts>
  <Company>Cleveland Clinic</Company>
  <LinksUpToDate>false</LinksUpToDate>
  <CharactersWithSpaces>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Stricker, Linda</dc:creator>
  <cp:keywords/>
  <dc:description/>
  <cp:lastModifiedBy>Dyann Stewart</cp:lastModifiedBy>
  <cp:revision>3</cp:revision>
  <dcterms:created xsi:type="dcterms:W3CDTF">2023-10-30T00:53:00Z</dcterms:created>
  <dcterms:modified xsi:type="dcterms:W3CDTF">2023-10-30T00:53:00Z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18740f8688df496ba3b125f7f32a04c68c8b4f0b72f4dbf85ded7741f73d4238</vt:lpwstr>
  </property>
</Properties>
</file>