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11FB5" w14:textId="77777777" w:rsidR="00735A01" w:rsidRDefault="00735A01" w:rsidP="00735A01">
      <w:pPr>
        <w:pStyle w:val="Header"/>
        <w:rPr>
          <w:b/>
          <w:color w:val="000000" w:themeColor="text1"/>
        </w:rPr>
      </w:pPr>
    </w:p>
    <w:p w14:paraId="10EA40A4" w14:textId="629961D1" w:rsidR="00735A01" w:rsidRDefault="00735A01" w:rsidP="00735A01">
      <w:pPr>
        <w:pStyle w:val="Header"/>
      </w:pPr>
      <w:r>
        <w:rPr>
          <w:b/>
          <w:color w:val="000000" w:themeColor="text1"/>
        </w:rPr>
        <w:t>Name: _</w:t>
      </w:r>
      <w:r w:rsidR="00220E58">
        <w:rPr>
          <w:b/>
          <w:color w:val="000000" w:themeColor="text1"/>
        </w:rPr>
        <w:t>Pamela Pirrello</w:t>
      </w:r>
      <w:r>
        <w:rPr>
          <w:b/>
          <w:color w:val="000000" w:themeColor="text1"/>
        </w:rPr>
        <w:t>__________________________________________________</w:t>
      </w:r>
    </w:p>
    <w:p w14:paraId="05BE9DE9" w14:textId="77777777" w:rsidR="00735A01" w:rsidRDefault="00735A01" w:rsidP="009B726E">
      <w:pPr>
        <w:jc w:val="both"/>
        <w:rPr>
          <w:b/>
          <w:color w:val="000000" w:themeColor="text1"/>
        </w:rPr>
      </w:pPr>
    </w:p>
    <w:p w14:paraId="7CBCAE4F" w14:textId="77777777" w:rsidR="00735A01" w:rsidRDefault="00735A01" w:rsidP="009B726E">
      <w:pPr>
        <w:jc w:val="both"/>
        <w:rPr>
          <w:b/>
          <w:color w:val="000000" w:themeColor="text1"/>
        </w:rPr>
      </w:pPr>
      <w:r>
        <w:rPr>
          <w:b/>
          <w:color w:val="000000" w:themeColor="text1"/>
        </w:rPr>
        <w:t>Point criteria</w:t>
      </w:r>
    </w:p>
    <w:tbl>
      <w:tblPr>
        <w:tblW w:w="5085"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590"/>
        <w:gridCol w:w="2590"/>
        <w:gridCol w:w="2590"/>
        <w:gridCol w:w="2590"/>
        <w:gridCol w:w="2810"/>
      </w:tblGrid>
      <w:tr w:rsidR="00735A01" w:rsidRPr="00FC38C4" w14:paraId="2B191CA9" w14:textId="77777777" w:rsidTr="00017608">
        <w:trPr>
          <w:tblHeader/>
          <w:tblCellSpacing w:w="0" w:type="dxa"/>
          <w:jc w:val="center"/>
        </w:trPr>
        <w:tc>
          <w:tcPr>
            <w:tcW w:w="983" w:type="pct"/>
            <w:shd w:val="clear" w:color="auto" w:fill="EFE7D8"/>
            <w:vAlign w:val="center"/>
          </w:tcPr>
          <w:p w14:paraId="6D781584" w14:textId="77777777" w:rsidR="00735A01" w:rsidRPr="00FC38C4" w:rsidRDefault="00735A01" w:rsidP="00017608">
            <w:pPr>
              <w:jc w:val="center"/>
              <w:rPr>
                <w:b/>
                <w:bCs/>
                <w:sz w:val="20"/>
                <w:szCs w:val="20"/>
              </w:rPr>
            </w:pPr>
            <w:r w:rsidRPr="00FC38C4">
              <w:rPr>
                <w:b/>
                <w:bCs/>
                <w:sz w:val="20"/>
                <w:szCs w:val="20"/>
              </w:rPr>
              <w:t>Criteria</w:t>
            </w:r>
          </w:p>
        </w:tc>
        <w:tc>
          <w:tcPr>
            <w:tcW w:w="983" w:type="pct"/>
            <w:shd w:val="clear" w:color="auto" w:fill="EFE7D8"/>
            <w:vAlign w:val="center"/>
          </w:tcPr>
          <w:p w14:paraId="32DE5CDE" w14:textId="77777777" w:rsidR="00735A01" w:rsidRPr="00FC38C4" w:rsidRDefault="00735A01" w:rsidP="00017608">
            <w:pPr>
              <w:jc w:val="center"/>
              <w:rPr>
                <w:b/>
                <w:bCs/>
                <w:sz w:val="20"/>
                <w:szCs w:val="20"/>
              </w:rPr>
            </w:pPr>
            <w:r w:rsidRPr="00FC38C4">
              <w:rPr>
                <w:b/>
                <w:bCs/>
                <w:sz w:val="20"/>
                <w:szCs w:val="20"/>
              </w:rPr>
              <w:t>Under performance</w:t>
            </w:r>
          </w:p>
          <w:p w14:paraId="179D8A7E" w14:textId="77777777" w:rsidR="00735A01" w:rsidRPr="00FC38C4" w:rsidRDefault="00735A01" w:rsidP="00017608">
            <w:pPr>
              <w:jc w:val="center"/>
              <w:rPr>
                <w:b/>
                <w:bCs/>
                <w:sz w:val="20"/>
                <w:szCs w:val="20"/>
              </w:rPr>
            </w:pPr>
            <w:r w:rsidRPr="00347CB3">
              <w:rPr>
                <w:b/>
                <w:bCs/>
                <w:sz w:val="20"/>
                <w:szCs w:val="20"/>
              </w:rPr>
              <w:t>&lt;3 points per criteria</w:t>
            </w:r>
          </w:p>
        </w:tc>
        <w:tc>
          <w:tcPr>
            <w:tcW w:w="983" w:type="pct"/>
            <w:shd w:val="clear" w:color="auto" w:fill="EFE7D8"/>
            <w:vAlign w:val="center"/>
          </w:tcPr>
          <w:p w14:paraId="11D6AF16" w14:textId="77777777" w:rsidR="00735A01" w:rsidRPr="00FC38C4" w:rsidRDefault="00735A01" w:rsidP="00017608">
            <w:pPr>
              <w:jc w:val="center"/>
              <w:rPr>
                <w:b/>
                <w:bCs/>
                <w:sz w:val="20"/>
                <w:szCs w:val="20"/>
              </w:rPr>
            </w:pPr>
            <w:r w:rsidRPr="00FC38C4">
              <w:rPr>
                <w:b/>
                <w:bCs/>
                <w:sz w:val="20"/>
                <w:szCs w:val="20"/>
              </w:rPr>
              <w:t>Basic</w:t>
            </w:r>
          </w:p>
          <w:p w14:paraId="74079204" w14:textId="77777777" w:rsidR="00735A01" w:rsidRPr="00FC38C4" w:rsidRDefault="00735A01" w:rsidP="00017608">
            <w:pPr>
              <w:jc w:val="center"/>
              <w:rPr>
                <w:b/>
                <w:bCs/>
                <w:sz w:val="20"/>
                <w:szCs w:val="20"/>
              </w:rPr>
            </w:pPr>
            <w:r w:rsidRPr="00347CB3">
              <w:rPr>
                <w:b/>
                <w:bCs/>
                <w:sz w:val="20"/>
                <w:szCs w:val="20"/>
              </w:rPr>
              <w:t>3 – 3.9 points per criteria</w:t>
            </w:r>
          </w:p>
        </w:tc>
        <w:tc>
          <w:tcPr>
            <w:tcW w:w="983" w:type="pct"/>
            <w:shd w:val="clear" w:color="auto" w:fill="EFE7D8"/>
            <w:vAlign w:val="center"/>
          </w:tcPr>
          <w:p w14:paraId="6179980A" w14:textId="77777777" w:rsidR="00735A01" w:rsidRPr="00FC38C4" w:rsidRDefault="00735A01" w:rsidP="00017608">
            <w:pPr>
              <w:jc w:val="center"/>
              <w:rPr>
                <w:b/>
                <w:bCs/>
                <w:sz w:val="20"/>
                <w:szCs w:val="20"/>
              </w:rPr>
            </w:pPr>
            <w:r w:rsidRPr="00FC38C4">
              <w:rPr>
                <w:b/>
                <w:bCs/>
                <w:sz w:val="20"/>
                <w:szCs w:val="20"/>
              </w:rPr>
              <w:t>Proficient</w:t>
            </w:r>
          </w:p>
          <w:p w14:paraId="10CAA9C0" w14:textId="77777777" w:rsidR="00735A01" w:rsidRPr="00FC38C4" w:rsidRDefault="00735A01" w:rsidP="00017608">
            <w:pPr>
              <w:jc w:val="center"/>
              <w:rPr>
                <w:b/>
                <w:bCs/>
                <w:sz w:val="20"/>
                <w:szCs w:val="20"/>
              </w:rPr>
            </w:pPr>
            <w:r w:rsidRPr="00347CB3">
              <w:rPr>
                <w:b/>
                <w:bCs/>
                <w:sz w:val="20"/>
                <w:szCs w:val="20"/>
              </w:rPr>
              <w:t>4.0 – 4.4 points per criteria</w:t>
            </w:r>
          </w:p>
        </w:tc>
        <w:tc>
          <w:tcPr>
            <w:tcW w:w="1067" w:type="pct"/>
            <w:shd w:val="clear" w:color="auto" w:fill="EFE7D8"/>
            <w:vAlign w:val="center"/>
          </w:tcPr>
          <w:p w14:paraId="49DEF6BA" w14:textId="77777777" w:rsidR="00735A01" w:rsidRPr="00FC38C4" w:rsidRDefault="00735A01" w:rsidP="00017608">
            <w:pPr>
              <w:jc w:val="center"/>
              <w:rPr>
                <w:b/>
                <w:bCs/>
                <w:sz w:val="20"/>
                <w:szCs w:val="20"/>
              </w:rPr>
            </w:pPr>
            <w:r w:rsidRPr="00FC38C4">
              <w:rPr>
                <w:b/>
                <w:bCs/>
                <w:sz w:val="20"/>
                <w:szCs w:val="20"/>
              </w:rPr>
              <w:t>Distinguished</w:t>
            </w:r>
          </w:p>
          <w:p w14:paraId="09AC1E75" w14:textId="77777777" w:rsidR="00735A01" w:rsidRPr="00FC38C4" w:rsidRDefault="00735A01" w:rsidP="00017608">
            <w:pPr>
              <w:jc w:val="center"/>
              <w:rPr>
                <w:b/>
                <w:bCs/>
                <w:sz w:val="20"/>
                <w:szCs w:val="20"/>
              </w:rPr>
            </w:pPr>
            <w:r w:rsidRPr="00347CB3">
              <w:rPr>
                <w:b/>
                <w:bCs/>
                <w:sz w:val="20"/>
                <w:szCs w:val="20"/>
              </w:rPr>
              <w:t>4.5 – 5 points per criteria</w:t>
            </w:r>
          </w:p>
        </w:tc>
      </w:tr>
      <w:tr w:rsidR="00735A01" w:rsidRPr="00FC38C4" w14:paraId="5C219F32" w14:textId="77777777" w:rsidTr="00017608">
        <w:trPr>
          <w:tblCellSpacing w:w="0" w:type="dxa"/>
          <w:jc w:val="center"/>
        </w:trPr>
        <w:tc>
          <w:tcPr>
            <w:tcW w:w="983" w:type="pct"/>
            <w:vAlign w:val="center"/>
          </w:tcPr>
          <w:p w14:paraId="7D6D5509" w14:textId="77777777" w:rsidR="00735A01" w:rsidRPr="00FC38C4" w:rsidRDefault="00735A01" w:rsidP="00017608">
            <w:pPr>
              <w:rPr>
                <w:sz w:val="20"/>
                <w:szCs w:val="20"/>
              </w:rPr>
            </w:pPr>
            <w:r w:rsidRPr="00FC38C4">
              <w:rPr>
                <w:b/>
                <w:bCs/>
                <w:sz w:val="20"/>
                <w:szCs w:val="20"/>
              </w:rPr>
              <w:t>Required content objectives</w:t>
            </w:r>
          </w:p>
        </w:tc>
        <w:tc>
          <w:tcPr>
            <w:tcW w:w="983" w:type="pct"/>
          </w:tcPr>
          <w:p w14:paraId="66642BB5" w14:textId="77777777" w:rsidR="00735A01" w:rsidRPr="00FC38C4" w:rsidRDefault="00735A01" w:rsidP="00017608">
            <w:pPr>
              <w:rPr>
                <w:sz w:val="20"/>
                <w:szCs w:val="20"/>
              </w:rPr>
            </w:pPr>
            <w:r w:rsidRPr="00FC38C4">
              <w:rPr>
                <w:sz w:val="20"/>
                <w:szCs w:val="20"/>
              </w:rPr>
              <w:t>Content objectives are missing or sparsely covered.</w:t>
            </w:r>
            <w:r>
              <w:rPr>
                <w:sz w:val="20"/>
                <w:szCs w:val="20"/>
              </w:rPr>
              <w:t xml:space="preserve"> </w:t>
            </w:r>
          </w:p>
        </w:tc>
        <w:tc>
          <w:tcPr>
            <w:tcW w:w="983" w:type="pct"/>
          </w:tcPr>
          <w:p w14:paraId="2BEDBF42" w14:textId="77777777" w:rsidR="00735A01" w:rsidRPr="00FC38C4" w:rsidRDefault="00735A01" w:rsidP="00017608">
            <w:pPr>
              <w:rPr>
                <w:sz w:val="20"/>
                <w:szCs w:val="20"/>
              </w:rPr>
            </w:pPr>
            <w:r w:rsidRPr="00FC38C4">
              <w:rPr>
                <w:sz w:val="20"/>
                <w:szCs w:val="20"/>
              </w:rPr>
              <w:t>Content objectives are not consistently addressed. Demonstrates minimal understanding of content.</w:t>
            </w:r>
            <w:r>
              <w:rPr>
                <w:sz w:val="20"/>
                <w:szCs w:val="20"/>
              </w:rPr>
              <w:t xml:space="preserve"> </w:t>
            </w:r>
          </w:p>
        </w:tc>
        <w:tc>
          <w:tcPr>
            <w:tcW w:w="983" w:type="pct"/>
          </w:tcPr>
          <w:p w14:paraId="5ACF0E28" w14:textId="77777777" w:rsidR="00735A01" w:rsidRPr="00FC38C4" w:rsidRDefault="00735A01" w:rsidP="00017608">
            <w:pPr>
              <w:rPr>
                <w:sz w:val="20"/>
                <w:szCs w:val="20"/>
              </w:rPr>
            </w:pPr>
            <w:r w:rsidRPr="00FC38C4">
              <w:rPr>
                <w:sz w:val="20"/>
                <w:szCs w:val="20"/>
              </w:rPr>
              <w:t xml:space="preserve">Content objectives consistently addressed. Demonstrates understanding of content. </w:t>
            </w:r>
          </w:p>
        </w:tc>
        <w:tc>
          <w:tcPr>
            <w:tcW w:w="1067" w:type="pct"/>
          </w:tcPr>
          <w:p w14:paraId="545F03CD" w14:textId="77777777" w:rsidR="00735A01" w:rsidRPr="00FC38C4" w:rsidRDefault="00735A01" w:rsidP="00017608">
            <w:pPr>
              <w:rPr>
                <w:sz w:val="20"/>
                <w:szCs w:val="20"/>
              </w:rPr>
            </w:pPr>
            <w:r w:rsidRPr="00FC38C4">
              <w:rPr>
                <w:sz w:val="20"/>
                <w:szCs w:val="20"/>
              </w:rPr>
              <w:t xml:space="preserve">Content objectives consistently addressed. Demonstrates mastery of content. </w:t>
            </w:r>
          </w:p>
        </w:tc>
      </w:tr>
      <w:tr w:rsidR="00735A01" w:rsidRPr="00FC38C4" w14:paraId="534C3C35" w14:textId="77777777" w:rsidTr="00017608">
        <w:trPr>
          <w:tblCellSpacing w:w="0" w:type="dxa"/>
          <w:jc w:val="center"/>
        </w:trPr>
        <w:tc>
          <w:tcPr>
            <w:tcW w:w="983" w:type="pct"/>
            <w:vAlign w:val="center"/>
          </w:tcPr>
          <w:p w14:paraId="10E52532" w14:textId="77777777" w:rsidR="00735A01" w:rsidRPr="00FC38C4" w:rsidRDefault="00735A01" w:rsidP="00017608">
            <w:pPr>
              <w:rPr>
                <w:sz w:val="20"/>
                <w:szCs w:val="20"/>
              </w:rPr>
            </w:pPr>
            <w:r w:rsidRPr="00FC38C4">
              <w:rPr>
                <w:b/>
                <w:bCs/>
                <w:sz w:val="20"/>
                <w:szCs w:val="20"/>
              </w:rPr>
              <w:t>Academic writing standards</w:t>
            </w:r>
          </w:p>
        </w:tc>
        <w:tc>
          <w:tcPr>
            <w:tcW w:w="983" w:type="pct"/>
          </w:tcPr>
          <w:p w14:paraId="41D0B572" w14:textId="77777777" w:rsidR="00735A01" w:rsidRPr="00FC38C4" w:rsidRDefault="00735A01" w:rsidP="00017608">
            <w:pPr>
              <w:rPr>
                <w:sz w:val="20"/>
                <w:szCs w:val="20"/>
              </w:rPr>
            </w:pPr>
            <w:r w:rsidRPr="00FC38C4">
              <w:rPr>
                <w:sz w:val="20"/>
                <w:szCs w:val="20"/>
              </w:rPr>
              <w:t xml:space="preserve">Writing lacks scholarly tone &amp; focus. Sparse content. Multiple grammatical, spelling, &amp; factual errors. </w:t>
            </w:r>
            <w:r>
              <w:rPr>
                <w:sz w:val="20"/>
                <w:szCs w:val="20"/>
              </w:rPr>
              <w:t>Reliance on bullet points rather than effective writing in speaker notes. 4 or more direct quotes per project.</w:t>
            </w:r>
          </w:p>
        </w:tc>
        <w:tc>
          <w:tcPr>
            <w:tcW w:w="983" w:type="pct"/>
          </w:tcPr>
          <w:p w14:paraId="7ECDBEC9" w14:textId="77777777" w:rsidR="00735A01" w:rsidRPr="00FC38C4" w:rsidRDefault="00735A01" w:rsidP="00017608">
            <w:pPr>
              <w:rPr>
                <w:sz w:val="20"/>
                <w:szCs w:val="20"/>
              </w:rPr>
            </w:pPr>
            <w:r w:rsidRPr="00FC38C4">
              <w:rPr>
                <w:sz w:val="20"/>
                <w:szCs w:val="20"/>
              </w:rPr>
              <w:t>Writing is unclear and/or disorganized. Inconsistent scholarly tone. Inadequate depth of content. Grammatical and spelling errors.</w:t>
            </w:r>
            <w:r>
              <w:rPr>
                <w:sz w:val="20"/>
                <w:szCs w:val="20"/>
              </w:rPr>
              <w:t xml:space="preserve"> </w:t>
            </w:r>
            <w:r>
              <w:rPr>
                <w:rFonts w:ascii="Calibri" w:hAnsi="Calibri"/>
                <w:sz w:val="18"/>
                <w:szCs w:val="18"/>
              </w:rPr>
              <w:t>No more than 3 direct quote of</w:t>
            </w:r>
            <w:r w:rsidRPr="003E66B7">
              <w:rPr>
                <w:rFonts w:ascii="Calibri" w:hAnsi="Calibri"/>
                <w:sz w:val="18"/>
                <w:szCs w:val="18"/>
              </w:rPr>
              <w:t xml:space="preserve"> less </w:t>
            </w:r>
            <w:r>
              <w:rPr>
                <w:rFonts w:ascii="Calibri" w:hAnsi="Calibri"/>
                <w:sz w:val="18"/>
                <w:szCs w:val="18"/>
              </w:rPr>
              <w:t>than 40 words per project.</w:t>
            </w:r>
          </w:p>
        </w:tc>
        <w:tc>
          <w:tcPr>
            <w:tcW w:w="983" w:type="pct"/>
          </w:tcPr>
          <w:p w14:paraId="361D2632" w14:textId="77777777" w:rsidR="00735A01" w:rsidRPr="00FC38C4" w:rsidRDefault="00735A01" w:rsidP="00017608">
            <w:pPr>
              <w:rPr>
                <w:sz w:val="20"/>
                <w:szCs w:val="20"/>
              </w:rPr>
            </w:pPr>
            <w:r w:rsidRPr="00FC38C4">
              <w:rPr>
                <w:sz w:val="20"/>
                <w:szCs w:val="20"/>
              </w:rPr>
              <w:t xml:space="preserve">Writing demonstrates general exploration of content. </w:t>
            </w:r>
            <w:r>
              <w:rPr>
                <w:sz w:val="20"/>
                <w:szCs w:val="20"/>
              </w:rPr>
              <w:t>Responses</w:t>
            </w:r>
            <w:r w:rsidRPr="00FC38C4">
              <w:rPr>
                <w:sz w:val="20"/>
                <w:szCs w:val="20"/>
              </w:rPr>
              <w:t xml:space="preserve"> are clearly written using scholarly tone. Few grammatical and/or spelling errors.</w:t>
            </w:r>
            <w:r>
              <w:rPr>
                <w:sz w:val="20"/>
                <w:szCs w:val="20"/>
              </w:rPr>
              <w:t xml:space="preserve"> </w:t>
            </w:r>
            <w:r>
              <w:rPr>
                <w:rFonts w:ascii="Calibri" w:hAnsi="Calibri"/>
                <w:sz w:val="18"/>
                <w:szCs w:val="18"/>
              </w:rPr>
              <w:t>No more than 2 direct quote of</w:t>
            </w:r>
            <w:r w:rsidRPr="003E66B7">
              <w:rPr>
                <w:rFonts w:ascii="Calibri" w:hAnsi="Calibri"/>
                <w:sz w:val="18"/>
                <w:szCs w:val="18"/>
              </w:rPr>
              <w:t xml:space="preserve"> less </w:t>
            </w:r>
            <w:r>
              <w:rPr>
                <w:rFonts w:ascii="Calibri" w:hAnsi="Calibri"/>
                <w:sz w:val="18"/>
                <w:szCs w:val="18"/>
              </w:rPr>
              <w:t>than 40 words per project.</w:t>
            </w:r>
          </w:p>
        </w:tc>
        <w:tc>
          <w:tcPr>
            <w:tcW w:w="1067" w:type="pct"/>
          </w:tcPr>
          <w:p w14:paraId="174F2BB3" w14:textId="77777777" w:rsidR="00735A01" w:rsidRPr="00FC38C4" w:rsidRDefault="00735A01" w:rsidP="00017608">
            <w:pPr>
              <w:rPr>
                <w:sz w:val="20"/>
                <w:szCs w:val="20"/>
              </w:rPr>
            </w:pPr>
            <w:r w:rsidRPr="00FC38C4">
              <w:rPr>
                <w:sz w:val="20"/>
                <w:szCs w:val="20"/>
              </w:rPr>
              <w:t xml:space="preserve">Writing demonstrates comprehensive exploration of content. </w:t>
            </w:r>
            <w:r>
              <w:rPr>
                <w:sz w:val="20"/>
                <w:szCs w:val="20"/>
              </w:rPr>
              <w:t>Responses</w:t>
            </w:r>
            <w:r w:rsidRPr="00FC38C4">
              <w:rPr>
                <w:sz w:val="20"/>
                <w:szCs w:val="20"/>
              </w:rPr>
              <w:t xml:space="preserve"> are clearly written using scholarly tone. Rare grammatical and/or spelling errors.</w:t>
            </w:r>
            <w:r>
              <w:rPr>
                <w:sz w:val="20"/>
                <w:szCs w:val="20"/>
              </w:rPr>
              <w:t xml:space="preserve"> </w:t>
            </w:r>
            <w:r>
              <w:rPr>
                <w:rFonts w:ascii="Calibri" w:hAnsi="Calibri"/>
                <w:sz w:val="18"/>
                <w:szCs w:val="18"/>
              </w:rPr>
              <w:t>No more than 1 direct quote of</w:t>
            </w:r>
            <w:r w:rsidRPr="003E66B7">
              <w:rPr>
                <w:rFonts w:ascii="Calibri" w:hAnsi="Calibri"/>
                <w:sz w:val="18"/>
                <w:szCs w:val="18"/>
              </w:rPr>
              <w:t xml:space="preserve"> less </w:t>
            </w:r>
            <w:r>
              <w:rPr>
                <w:rFonts w:ascii="Calibri" w:hAnsi="Calibri"/>
                <w:sz w:val="18"/>
                <w:szCs w:val="18"/>
              </w:rPr>
              <w:t>than 40 words per project.</w:t>
            </w:r>
          </w:p>
        </w:tc>
      </w:tr>
      <w:tr w:rsidR="00735A01" w:rsidRPr="00FC38C4" w14:paraId="10965A8A" w14:textId="77777777" w:rsidTr="00017608">
        <w:trPr>
          <w:tblCellSpacing w:w="0" w:type="dxa"/>
          <w:jc w:val="center"/>
        </w:trPr>
        <w:tc>
          <w:tcPr>
            <w:tcW w:w="983" w:type="pct"/>
            <w:vAlign w:val="center"/>
          </w:tcPr>
          <w:p w14:paraId="2EAE905A" w14:textId="77777777" w:rsidR="00735A01" w:rsidRPr="00FC38C4" w:rsidRDefault="00735A01" w:rsidP="00017608">
            <w:pPr>
              <w:rPr>
                <w:b/>
                <w:bCs/>
                <w:sz w:val="20"/>
                <w:szCs w:val="20"/>
              </w:rPr>
            </w:pPr>
            <w:r w:rsidRPr="00FC38C4">
              <w:rPr>
                <w:b/>
                <w:bCs/>
                <w:sz w:val="20"/>
                <w:szCs w:val="20"/>
              </w:rPr>
              <w:t xml:space="preserve">APA formatting </w:t>
            </w:r>
          </w:p>
        </w:tc>
        <w:tc>
          <w:tcPr>
            <w:tcW w:w="983" w:type="pct"/>
          </w:tcPr>
          <w:p w14:paraId="79E49107" w14:textId="77777777" w:rsidR="00735A01" w:rsidRPr="00FC38C4" w:rsidRDefault="00735A01" w:rsidP="00017608">
            <w:pPr>
              <w:rPr>
                <w:sz w:val="20"/>
                <w:szCs w:val="20"/>
              </w:rPr>
            </w:pPr>
            <w:r w:rsidRPr="00FC38C4">
              <w:rPr>
                <w:sz w:val="20"/>
                <w:szCs w:val="20"/>
              </w:rPr>
              <w:t>References and citations have multiple errors or are missing.</w:t>
            </w:r>
          </w:p>
        </w:tc>
        <w:tc>
          <w:tcPr>
            <w:tcW w:w="983" w:type="pct"/>
          </w:tcPr>
          <w:p w14:paraId="509CAC8F" w14:textId="77777777" w:rsidR="00735A01" w:rsidRPr="00FC38C4" w:rsidRDefault="00735A01" w:rsidP="00017608">
            <w:pPr>
              <w:rPr>
                <w:sz w:val="20"/>
                <w:szCs w:val="20"/>
              </w:rPr>
            </w:pPr>
            <w:r w:rsidRPr="00FC38C4">
              <w:rPr>
                <w:sz w:val="20"/>
                <w:szCs w:val="20"/>
              </w:rPr>
              <w:t>References and citations have errors.</w:t>
            </w:r>
          </w:p>
        </w:tc>
        <w:tc>
          <w:tcPr>
            <w:tcW w:w="983" w:type="pct"/>
          </w:tcPr>
          <w:p w14:paraId="2594BCE6" w14:textId="77777777" w:rsidR="00735A01" w:rsidRPr="00FC38C4" w:rsidRDefault="00735A01" w:rsidP="00017608">
            <w:pPr>
              <w:rPr>
                <w:sz w:val="20"/>
                <w:szCs w:val="20"/>
              </w:rPr>
            </w:pPr>
            <w:r w:rsidRPr="00FC38C4">
              <w:rPr>
                <w:sz w:val="20"/>
                <w:szCs w:val="20"/>
              </w:rPr>
              <w:t>References and citations have few errors.</w:t>
            </w:r>
          </w:p>
        </w:tc>
        <w:tc>
          <w:tcPr>
            <w:tcW w:w="1067" w:type="pct"/>
          </w:tcPr>
          <w:p w14:paraId="561F79F4" w14:textId="77777777" w:rsidR="00735A01" w:rsidRPr="00FC38C4" w:rsidRDefault="00735A01" w:rsidP="00017608">
            <w:pPr>
              <w:rPr>
                <w:sz w:val="20"/>
                <w:szCs w:val="20"/>
              </w:rPr>
            </w:pPr>
            <w:r w:rsidRPr="00FC38C4">
              <w:rPr>
                <w:sz w:val="20"/>
                <w:szCs w:val="20"/>
              </w:rPr>
              <w:t>References and citations have rare errors.</w:t>
            </w:r>
          </w:p>
        </w:tc>
      </w:tr>
    </w:tbl>
    <w:p w14:paraId="731C0BE3" w14:textId="77777777" w:rsidR="00735A01" w:rsidRDefault="00735A01" w:rsidP="009B726E">
      <w:pPr>
        <w:jc w:val="both"/>
        <w:rPr>
          <w:b/>
          <w:color w:val="000000" w:themeColor="text1"/>
        </w:rPr>
      </w:pPr>
    </w:p>
    <w:p w14:paraId="160106AB" w14:textId="77777777" w:rsidR="009B726E" w:rsidRDefault="00735A01" w:rsidP="009B726E">
      <w:pPr>
        <w:jc w:val="both"/>
        <w:rPr>
          <w:b/>
          <w:color w:val="FF0000"/>
        </w:rPr>
      </w:pPr>
      <w:r>
        <w:rPr>
          <w:b/>
          <w:color w:val="000000" w:themeColor="text1"/>
        </w:rPr>
        <w:t xml:space="preserve">Carefully review the assignment rubric above for how points are awarded. </w:t>
      </w:r>
      <w:r w:rsidR="009B726E" w:rsidRPr="00C83FFD">
        <w:rPr>
          <w:b/>
          <w:color w:val="000000" w:themeColor="text1"/>
        </w:rPr>
        <w:t>Using academic writing standards and APA formatting</w:t>
      </w:r>
      <w:r w:rsidR="009B726E">
        <w:rPr>
          <w:b/>
          <w:color w:val="000000" w:themeColor="text1"/>
        </w:rPr>
        <w:t xml:space="preserve"> of references</w:t>
      </w:r>
      <w:r>
        <w:rPr>
          <w:b/>
          <w:color w:val="000000" w:themeColor="text1"/>
        </w:rPr>
        <w:t xml:space="preserve"> and citations</w:t>
      </w:r>
      <w:r w:rsidR="009B726E" w:rsidRPr="00C83FFD">
        <w:rPr>
          <w:b/>
          <w:color w:val="000000" w:themeColor="text1"/>
        </w:rPr>
        <w:t>, respond</w:t>
      </w:r>
      <w:r w:rsidR="009B726E">
        <w:rPr>
          <w:b/>
          <w:color w:val="000000" w:themeColor="text1"/>
        </w:rPr>
        <w:t xml:space="preserve"> to</w:t>
      </w:r>
      <w:r w:rsidR="009B726E" w:rsidRPr="00C83FFD">
        <w:rPr>
          <w:b/>
          <w:color w:val="000000" w:themeColor="text1"/>
        </w:rPr>
        <w:t xml:space="preserve"> </w:t>
      </w:r>
      <w:r w:rsidR="009B726E">
        <w:rPr>
          <w:b/>
          <w:color w:val="000000" w:themeColor="text1"/>
        </w:rPr>
        <w:t>each of</w:t>
      </w:r>
      <w:r>
        <w:rPr>
          <w:b/>
          <w:color w:val="000000" w:themeColor="text1"/>
        </w:rPr>
        <w:t xml:space="preserve"> the </w:t>
      </w:r>
      <w:r w:rsidR="009B726E" w:rsidRPr="00C83FFD">
        <w:rPr>
          <w:b/>
          <w:color w:val="000000" w:themeColor="text1"/>
        </w:rPr>
        <w:t>learning objectives</w:t>
      </w:r>
      <w:r>
        <w:rPr>
          <w:b/>
          <w:color w:val="000000" w:themeColor="text1"/>
        </w:rPr>
        <w:t xml:space="preserve"> on page two</w:t>
      </w:r>
      <w:r w:rsidR="009B726E" w:rsidRPr="00C83FFD">
        <w:rPr>
          <w:b/>
          <w:color w:val="000000" w:themeColor="text1"/>
        </w:rPr>
        <w:t xml:space="preserve">. </w:t>
      </w:r>
      <w:r w:rsidRPr="00735A01">
        <w:rPr>
          <w:b/>
          <w:color w:val="000000" w:themeColor="text1"/>
          <w:highlight w:val="yellow"/>
        </w:rPr>
        <w:t>Each response</w:t>
      </w:r>
      <w:r w:rsidR="009B726E" w:rsidRPr="00735A01">
        <w:rPr>
          <w:b/>
          <w:color w:val="000000" w:themeColor="text1"/>
          <w:highlight w:val="yellow"/>
        </w:rPr>
        <w:t xml:space="preserve"> should be 150-350 words in length.</w:t>
      </w:r>
      <w:r w:rsidR="009B726E">
        <w:rPr>
          <w:b/>
          <w:color w:val="000000" w:themeColor="text1"/>
        </w:rPr>
        <w:t xml:space="preserve"> Save the completed document as the assignment title and submit to the </w:t>
      </w:r>
      <w:proofErr w:type="spellStart"/>
      <w:r w:rsidR="009B726E">
        <w:rPr>
          <w:b/>
          <w:color w:val="000000" w:themeColor="text1"/>
        </w:rPr>
        <w:t>dropbox</w:t>
      </w:r>
      <w:proofErr w:type="spellEnd"/>
      <w:r w:rsidR="009B726E">
        <w:rPr>
          <w:b/>
          <w:color w:val="000000" w:themeColor="text1"/>
        </w:rPr>
        <w:t>.</w:t>
      </w:r>
    </w:p>
    <w:p w14:paraId="406983B2" w14:textId="77777777" w:rsidR="00735A01" w:rsidRDefault="00735A01" w:rsidP="009B726E">
      <w:pPr>
        <w:jc w:val="both"/>
        <w:rPr>
          <w:b/>
          <w:color w:val="FF0000"/>
        </w:rPr>
      </w:pPr>
    </w:p>
    <w:p w14:paraId="2AEE18A2" w14:textId="77777777" w:rsidR="00735A01" w:rsidRDefault="00735A01" w:rsidP="009B726E">
      <w:pPr>
        <w:jc w:val="both"/>
        <w:rPr>
          <w:b/>
          <w:color w:val="FF0000"/>
        </w:rPr>
      </w:pPr>
    </w:p>
    <w:p w14:paraId="0B33D7F2" w14:textId="77777777" w:rsidR="00735A01" w:rsidRDefault="00735A01" w:rsidP="009B726E">
      <w:pPr>
        <w:jc w:val="both"/>
        <w:rPr>
          <w:b/>
          <w:color w:val="FF0000"/>
        </w:rPr>
      </w:pPr>
    </w:p>
    <w:p w14:paraId="5EF01144" w14:textId="77777777" w:rsidR="00735A01" w:rsidRDefault="007E32D1" w:rsidP="00735A01">
      <w:pPr>
        <w:pStyle w:val="ListParagraph"/>
        <w:numPr>
          <w:ilvl w:val="0"/>
          <w:numId w:val="4"/>
        </w:numPr>
        <w:jc w:val="both"/>
      </w:pPr>
      <w:r>
        <w:t>Explain</w:t>
      </w:r>
      <w:r w:rsidR="00735A01">
        <w:t xml:space="preserve"> the pelvic nerves responsible for sexual function, and how the sympathetic &amp; parasympathetic nervous systems impact this process.</w:t>
      </w:r>
    </w:p>
    <w:p w14:paraId="3AD339F1" w14:textId="4AD91139" w:rsidR="007E32D1" w:rsidRDefault="00154E8B" w:rsidP="00277EAF">
      <w:r>
        <w:t xml:space="preserve">One of the main responsibilities of the ostomy nurse is to educate the patient and family members. In both scenarios the patients have </w:t>
      </w:r>
      <w:r w:rsidR="003B02ED">
        <w:t xml:space="preserve">legitimate </w:t>
      </w:r>
      <w:r>
        <w:t>concerns. The patient that is planning a wedding and the patient that is going to have an ostomy marking</w:t>
      </w:r>
      <w:r w:rsidR="003B02ED">
        <w:t xml:space="preserve"> both</w:t>
      </w:r>
      <w:r>
        <w:t xml:space="preserve"> need education. This education should be focused on anatomy</w:t>
      </w:r>
      <w:r w:rsidR="00806D91">
        <w:t xml:space="preserve">, physiology, </w:t>
      </w:r>
      <w:r w:rsidR="00B50654">
        <w:t xml:space="preserve">and </w:t>
      </w:r>
      <w:r w:rsidR="003B02ED">
        <w:t>the nervous</w:t>
      </w:r>
      <w:r w:rsidR="00806D91">
        <w:t xml:space="preserve"> system</w:t>
      </w:r>
      <w:r w:rsidR="003B02ED">
        <w:t xml:space="preserve"> that is</w:t>
      </w:r>
      <w:r w:rsidR="00B50654">
        <w:t xml:space="preserve"> </w:t>
      </w:r>
      <w:r w:rsidR="00806D91">
        <w:t>involved</w:t>
      </w:r>
      <w:r w:rsidR="00B50654">
        <w:t xml:space="preserve"> in their situation. </w:t>
      </w:r>
      <w:r w:rsidR="003B02ED">
        <w:t>Although the patient that has an ostomy would likely have already been educated on basic nerve function affected in her or his surgery</w:t>
      </w:r>
      <w:r w:rsidR="00D85B9D">
        <w:t>,</w:t>
      </w:r>
      <w:r w:rsidR="003B02ED">
        <w:t xml:space="preserve"> it is important to cover all the basics. The patient that is getting</w:t>
      </w:r>
      <w:r w:rsidR="00D85B9D">
        <w:t xml:space="preserve"> a</w:t>
      </w:r>
      <w:r w:rsidR="003B02ED">
        <w:t xml:space="preserve"> stoma marked would need basic education as well</w:t>
      </w:r>
      <w:r w:rsidR="00D85B9D">
        <w:t xml:space="preserve"> as</w:t>
      </w:r>
      <w:r w:rsidR="003B02ED">
        <w:t xml:space="preserve"> with the realization that given his or her acute situation more in depth education will be discussed in the future. </w:t>
      </w:r>
      <w:r w:rsidR="00A16701">
        <w:t xml:space="preserve">When educating patients, it is important to consider who is being educated and their situation. Education delivery should be simple to </w:t>
      </w:r>
      <w:r w:rsidR="00D03186">
        <w:t>understand and individualized to the patient</w:t>
      </w:r>
      <w:r w:rsidR="00A16701">
        <w:t>.</w:t>
      </w:r>
      <w:r w:rsidR="003B02ED">
        <w:t xml:space="preserve"> </w:t>
      </w:r>
      <w:r w:rsidR="0073752E">
        <w:t>In educating both patients it may be helpful to use picture diagrams showing the body anatomy and nerve interventions.</w:t>
      </w:r>
      <w:r w:rsidR="00BE19F9">
        <w:t xml:space="preserve"> </w:t>
      </w:r>
    </w:p>
    <w:p w14:paraId="6D915EE4" w14:textId="6EC19460" w:rsidR="00A16701" w:rsidRDefault="00D85B9D" w:rsidP="007E32D1">
      <w:pPr>
        <w:jc w:val="both"/>
      </w:pPr>
      <w:r>
        <w:t>Th</w:t>
      </w:r>
      <w:r w:rsidR="00BC0C0D">
        <w:t>e</w:t>
      </w:r>
      <w:r w:rsidR="00A16701">
        <w:t xml:space="preserve"> autonomic nervous system in the pelvis consists </w:t>
      </w:r>
      <w:r w:rsidR="00BE19F9">
        <w:t xml:space="preserve">of innervation and control of the organs in the pelvis. These organs include </w:t>
      </w:r>
      <w:r w:rsidR="00AC74D4">
        <w:t>the bladder, rectum, and reproductive organs. Surgery involving injury to this area can lead to a variety of dysfunctions.</w:t>
      </w:r>
      <w:r w:rsidR="008B6672">
        <w:t xml:space="preserve"> The pelvic autonomic system is made up of the superior hypogastric plexus </w:t>
      </w:r>
      <w:r w:rsidR="00364683">
        <w:t>(SHP) and the inferior hypogastric plexus (IHP)</w:t>
      </w:r>
      <w:r w:rsidR="00F16983">
        <w:t xml:space="preserve">. The SHP is situated below the aortic bifurcation. It goes down into the pelvis and meets with the L3 and L4 splanchnic nerves. </w:t>
      </w:r>
      <w:r w:rsidR="000D394E">
        <w:t xml:space="preserve">It then splits into both the right and left hypogastric nerves when arriving in the pelvis. The IHP meets with the hypogastric nerves (HN). These are made up of pelvic visceral nerves and sacral sympathetic trunks (SST). </w:t>
      </w:r>
      <w:r w:rsidR="007E26A6">
        <w:t>Located in the retroperitoneal space adjacent to the pelvic viscera is the hypogastric plexus. It comprises both sympathetic and parasympathetic nerves.</w:t>
      </w:r>
      <w:r w:rsidR="00DE7765">
        <w:t xml:space="preserve"> (Ye et al.,2023).</w:t>
      </w:r>
      <w:r w:rsidR="00364683">
        <w:t xml:space="preserve"> </w:t>
      </w:r>
      <w:r w:rsidR="00AC74D4">
        <w:t xml:space="preserve"> </w:t>
      </w:r>
    </w:p>
    <w:p w14:paraId="515BA4E8" w14:textId="456B4ECE" w:rsidR="00861688" w:rsidRDefault="002E039C" w:rsidP="007E32D1">
      <w:pPr>
        <w:jc w:val="both"/>
      </w:pPr>
      <w:r>
        <w:t xml:space="preserve">Both the parasympathetic nervous system and the sympathetic nervous system make up the autonomic nervous system and balance each other. </w:t>
      </w:r>
      <w:r w:rsidR="001D338D">
        <w:t xml:space="preserve">They both play a role in sexual function. </w:t>
      </w:r>
      <w:r>
        <w:t>The parasympathetic system relaxes and reduces the body’s activities. In the reproductive system</w:t>
      </w:r>
      <w:r w:rsidR="00BC0C0D">
        <w:t>,</w:t>
      </w:r>
      <w:r>
        <w:t xml:space="preserve"> </w:t>
      </w:r>
      <w:r w:rsidR="008466E7">
        <w:t>they both manage</w:t>
      </w:r>
      <w:r>
        <w:t xml:space="preserve"> the body’s sexual functions. These functions </w:t>
      </w:r>
      <w:r w:rsidR="0073752E">
        <w:t xml:space="preserve">including the feeling of arousal such as penile erections for males and lubricating fluids in the vagina for </w:t>
      </w:r>
      <w:r w:rsidR="008E7CA4">
        <w:t>women (Cleveland Clinic</w:t>
      </w:r>
      <w:r w:rsidR="0095212C">
        <w:t>, 2023</w:t>
      </w:r>
      <w:r w:rsidR="008E7CA4">
        <w:t xml:space="preserve">). </w:t>
      </w:r>
      <w:r w:rsidR="001D338D">
        <w:t>The</w:t>
      </w:r>
      <w:r w:rsidR="00A90535">
        <w:t xml:space="preserve"> sympathetic nervous </w:t>
      </w:r>
      <w:r w:rsidR="001D338D">
        <w:t>system is</w:t>
      </w:r>
      <w:r w:rsidR="00D03186">
        <w:t xml:space="preserve"> responsible for</w:t>
      </w:r>
      <w:r w:rsidR="00BD018A">
        <w:t xml:space="preserve"> how the body respon</w:t>
      </w:r>
      <w:r w:rsidR="00BC0C0D">
        <w:t>ds</w:t>
      </w:r>
      <w:r w:rsidR="00BD018A">
        <w:t xml:space="preserve"> to</w:t>
      </w:r>
      <w:r w:rsidR="00D03186">
        <w:t xml:space="preserve"> stress</w:t>
      </w:r>
      <w:r w:rsidR="00BD018A">
        <w:t xml:space="preserve">, </w:t>
      </w:r>
      <w:r w:rsidR="001D338D">
        <w:t>commonly known</w:t>
      </w:r>
      <w:r w:rsidR="00D03186">
        <w:t xml:space="preserve"> as</w:t>
      </w:r>
      <w:r w:rsidR="00BD018A">
        <w:t xml:space="preserve"> “fight-or-flight”</w:t>
      </w:r>
      <w:r w:rsidR="00D03186">
        <w:t xml:space="preserve"> </w:t>
      </w:r>
      <w:r w:rsidR="00BD018A">
        <w:t xml:space="preserve">response. </w:t>
      </w:r>
      <w:r w:rsidR="001D338D">
        <w:t>Erectile disfunction can occur in males with sympathetic nervous system damage</w:t>
      </w:r>
      <w:r w:rsidR="00045F75">
        <w:t xml:space="preserve"> </w:t>
      </w:r>
      <w:r w:rsidR="001D338D">
        <w:t>(Cleveland Clinic).</w:t>
      </w:r>
      <w:r w:rsidR="00861688">
        <w:t xml:space="preserve"> Sex</w:t>
      </w:r>
      <w:r w:rsidR="00142E11">
        <w:t>ual dysfunction in female may include vaginal dryness, or by vaginal resection. This may cause dyspareunia (Carmel &amp; Goldberg</w:t>
      </w:r>
      <w:r w:rsidR="00D56BE6">
        <w:t>, 2022</w:t>
      </w:r>
      <w:r w:rsidR="00142E11">
        <w:t xml:space="preserve">).  </w:t>
      </w:r>
    </w:p>
    <w:p w14:paraId="6EF5CEBA" w14:textId="77777777" w:rsidR="00861688" w:rsidRDefault="00861688" w:rsidP="007E32D1">
      <w:pPr>
        <w:jc w:val="both"/>
      </w:pPr>
    </w:p>
    <w:p w14:paraId="50106E45" w14:textId="77777777" w:rsidR="00861688" w:rsidRDefault="00861688" w:rsidP="007E32D1">
      <w:pPr>
        <w:jc w:val="both"/>
      </w:pPr>
    </w:p>
    <w:p w14:paraId="722097BD" w14:textId="77777777" w:rsidR="00861688" w:rsidRDefault="00861688" w:rsidP="007E32D1">
      <w:pPr>
        <w:jc w:val="both"/>
      </w:pPr>
    </w:p>
    <w:p w14:paraId="6C1E4F1B" w14:textId="77777777" w:rsidR="00861688" w:rsidRDefault="00861688" w:rsidP="007E32D1">
      <w:pPr>
        <w:jc w:val="both"/>
      </w:pPr>
    </w:p>
    <w:p w14:paraId="1D057BD1" w14:textId="77777777" w:rsidR="00861688" w:rsidRPr="00861688" w:rsidRDefault="00861688" w:rsidP="007E32D1">
      <w:pPr>
        <w:jc w:val="both"/>
        <w:rPr>
          <w:sz w:val="20"/>
          <w:szCs w:val="20"/>
        </w:rPr>
      </w:pPr>
    </w:p>
    <w:p w14:paraId="54629D07" w14:textId="77777777" w:rsidR="00735A01" w:rsidRDefault="00735A01" w:rsidP="00735A01">
      <w:pPr>
        <w:pStyle w:val="ListParagraph"/>
        <w:numPr>
          <w:ilvl w:val="0"/>
          <w:numId w:val="4"/>
        </w:numPr>
        <w:jc w:val="both"/>
      </w:pPr>
      <w:r>
        <w:t>D</w:t>
      </w:r>
      <w:r w:rsidR="007E32D1">
        <w:t>ifferentiate between</w:t>
      </w:r>
      <w:r>
        <w:t xml:space="preserve"> body image and self-concept. </w:t>
      </w:r>
    </w:p>
    <w:p w14:paraId="662F0482" w14:textId="6CFA7FFC" w:rsidR="007E32D1" w:rsidRDefault="00DE7765" w:rsidP="007E32D1">
      <w:pPr>
        <w:pStyle w:val="ListParagraph"/>
      </w:pPr>
      <w:r>
        <w:t>2023).</w:t>
      </w:r>
    </w:p>
    <w:p w14:paraId="5E83FBB8" w14:textId="6A00A068" w:rsidR="00850D1C" w:rsidRDefault="001D5220" w:rsidP="00BE558D">
      <w:pPr>
        <w:jc w:val="both"/>
      </w:pPr>
      <w:r>
        <w:t>Self- concept is a personal</w:t>
      </w:r>
      <w:r w:rsidR="00D02D67">
        <w:t xml:space="preserve"> view of ourselves. Self -concept is how we see our personal characteristics that make us who we are. These </w:t>
      </w:r>
      <w:r w:rsidR="00850D1C">
        <w:t xml:space="preserve">personal </w:t>
      </w:r>
      <w:r w:rsidR="00D02D67">
        <w:t xml:space="preserve">characteristics </w:t>
      </w:r>
      <w:r w:rsidR="00850D1C">
        <w:t>include things such</w:t>
      </w:r>
      <w:r w:rsidR="00D02D67">
        <w:t xml:space="preserve"> as our </w:t>
      </w:r>
      <w:r w:rsidR="00850D1C">
        <w:t>personal view of beauty</w:t>
      </w:r>
      <w:r w:rsidR="00D02D67">
        <w:t xml:space="preserve">, ugliness, intelligence, ignorance, </w:t>
      </w:r>
      <w:r w:rsidR="00850D1C">
        <w:t xml:space="preserve">and </w:t>
      </w:r>
      <w:r w:rsidR="00D02D67">
        <w:t>talents</w:t>
      </w:r>
      <w:r w:rsidR="00850D1C">
        <w:t>. It includes our view of being kind, selfish, good, or</w:t>
      </w:r>
      <w:r w:rsidR="0057031C">
        <w:t xml:space="preserve"> a</w:t>
      </w:r>
      <w:r w:rsidR="00850D1C">
        <w:t xml:space="preserve"> bad person. Our self -concept is influenced and is a product of what we have learned. This self -concept is influenced early on in life. Major contributors are our parents and other caregivers. Self-concept is influenced by our surroundings and relationships with others </w:t>
      </w:r>
      <w:r w:rsidR="00666782">
        <w:t>(Cleveland Clinic</w:t>
      </w:r>
      <w:r w:rsidR="0095212C">
        <w:t>, 2023</w:t>
      </w:r>
      <w:r w:rsidR="00666782">
        <w:t xml:space="preserve">). </w:t>
      </w:r>
      <w:r w:rsidR="00850D1C">
        <w:t xml:space="preserve"> </w:t>
      </w:r>
    </w:p>
    <w:p w14:paraId="34CCEFCE" w14:textId="7137285B" w:rsidR="007E32D1" w:rsidRDefault="00C22297" w:rsidP="00BE558D">
      <w:pPr>
        <w:jc w:val="both"/>
      </w:pPr>
      <w:r>
        <w:t>Body image is</w:t>
      </w:r>
      <w:r w:rsidR="000B3FAB">
        <w:t xml:space="preserve"> how </w:t>
      </w:r>
      <w:r w:rsidR="006736F5">
        <w:t>some</w:t>
      </w:r>
      <w:r w:rsidR="00BE558D">
        <w:t>one</w:t>
      </w:r>
      <w:r w:rsidR="006736F5">
        <w:t xml:space="preserve"> </w:t>
      </w:r>
      <w:r w:rsidR="00BE558D">
        <w:t>perceives</w:t>
      </w:r>
      <w:r w:rsidR="000B3FAB">
        <w:t xml:space="preserve"> their body looks</w:t>
      </w:r>
      <w:r w:rsidR="00BE558D">
        <w:t xml:space="preserve"> like</w:t>
      </w:r>
      <w:r w:rsidR="000B3FAB">
        <w:t>. Body image is</w:t>
      </w:r>
      <w:r w:rsidR="001D5220">
        <w:t xml:space="preserve"> a</w:t>
      </w:r>
      <w:r w:rsidR="00BE558D">
        <w:t xml:space="preserve"> personal</w:t>
      </w:r>
      <w:r w:rsidR="001D5220">
        <w:t xml:space="preserve"> view of</w:t>
      </w:r>
      <w:r w:rsidR="00983082">
        <w:t xml:space="preserve"> what </w:t>
      </w:r>
      <w:r w:rsidR="001D5220">
        <w:t xml:space="preserve">one thinks they look like. </w:t>
      </w:r>
      <w:r w:rsidR="00AC4FF9">
        <w:t>It is part of self-concept. It is more than what we think we look like. It is also how we respond to how we look like. It includes a positive</w:t>
      </w:r>
      <w:r w:rsidR="0057031C">
        <w:t xml:space="preserve"> or negative</w:t>
      </w:r>
      <w:r w:rsidR="00AC4FF9">
        <w:t xml:space="preserve"> response to what we look like. Body image can be affected by culture and relationships. </w:t>
      </w:r>
      <w:r w:rsidR="00C208AA">
        <w:t xml:space="preserve">Body image changes as we grow, age, and </w:t>
      </w:r>
      <w:r w:rsidR="004C3835">
        <w:t>is affected</w:t>
      </w:r>
      <w:r w:rsidR="00C208AA">
        <w:t xml:space="preserve"> by surgical procedures affecting what our body may look like</w:t>
      </w:r>
      <w:r w:rsidR="00C7755D">
        <w:t xml:space="preserve"> after surgery</w:t>
      </w:r>
      <w:r w:rsidR="00BE65FA">
        <w:t xml:space="preserve"> (Cleveland Clinic</w:t>
      </w:r>
      <w:r w:rsidR="0095212C">
        <w:t>, 2023</w:t>
      </w:r>
      <w:r w:rsidR="00BE65FA">
        <w:t>).</w:t>
      </w:r>
      <w:r w:rsidR="00C208AA">
        <w:t xml:space="preserve">  </w:t>
      </w:r>
    </w:p>
    <w:p w14:paraId="0B8ECB77" w14:textId="77777777" w:rsidR="004D441F" w:rsidRDefault="004D441F" w:rsidP="00BE558D">
      <w:pPr>
        <w:jc w:val="both"/>
        <w:rPr>
          <w:sz w:val="20"/>
          <w:szCs w:val="20"/>
        </w:rPr>
      </w:pPr>
    </w:p>
    <w:p w14:paraId="09AE711B" w14:textId="1BE89DE6" w:rsidR="000121DF" w:rsidRDefault="000121DF" w:rsidP="007E32D1">
      <w:pPr>
        <w:jc w:val="both"/>
      </w:pPr>
    </w:p>
    <w:p w14:paraId="201B907C" w14:textId="77777777" w:rsidR="000121DF" w:rsidRDefault="000121DF" w:rsidP="007E32D1">
      <w:pPr>
        <w:jc w:val="both"/>
      </w:pPr>
    </w:p>
    <w:p w14:paraId="35187FFD" w14:textId="06F24864" w:rsidR="007E32D1" w:rsidRDefault="007E32D1" w:rsidP="00735A01">
      <w:pPr>
        <w:pStyle w:val="ListParagraph"/>
        <w:numPr>
          <w:ilvl w:val="0"/>
          <w:numId w:val="4"/>
        </w:numPr>
        <w:jc w:val="both"/>
      </w:pPr>
      <w:r>
        <w:t>D</w:t>
      </w:r>
      <w:r w:rsidR="004D441F">
        <w:t>escribe the</w:t>
      </w:r>
      <w:r>
        <w:t xml:space="preserve"> potential impact of ostomy surgery on: body image, self-concept, and sexuality for men and women. </w:t>
      </w:r>
    </w:p>
    <w:p w14:paraId="4525E1BE" w14:textId="50273DB7" w:rsidR="00277EAF" w:rsidRDefault="00D77622" w:rsidP="00277EAF">
      <w:r>
        <w:t xml:space="preserve">The potential impact of an ostomy on body image, self-concept, and sexuality for both men and women are important considerations in how ostomy nurses individualize care. </w:t>
      </w:r>
      <w:r w:rsidR="008D2F42">
        <w:t>Both men and women may be impacted in similar ways depending on what developmental stage in life they are in. Personal relation</w:t>
      </w:r>
      <w:r w:rsidR="001B2722">
        <w:t>ships</w:t>
      </w:r>
      <w:r w:rsidR="008D2F42">
        <w:t xml:space="preserve"> including intimate ones,</w:t>
      </w:r>
      <w:r w:rsidR="001B2722">
        <w:t xml:space="preserve"> and family dynamics</w:t>
      </w:r>
      <w:r w:rsidR="008D2F42">
        <w:t xml:space="preserve"> may vary</w:t>
      </w:r>
      <w:r w:rsidR="003372A0">
        <w:t xml:space="preserve"> and have an influence in both a men and women</w:t>
      </w:r>
      <w:r w:rsidR="001B2722">
        <w:t xml:space="preserve">. It is necessary that the ostomy nurse understand what situation a patient is in to focus on possible concerns. </w:t>
      </w:r>
      <w:r w:rsidR="003372A0">
        <w:t xml:space="preserve"> </w:t>
      </w:r>
      <w:r w:rsidR="001B2722">
        <w:t>Adolescen</w:t>
      </w:r>
      <w:r w:rsidR="0095212C">
        <w:t>ces</w:t>
      </w:r>
      <w:r w:rsidR="001B2722">
        <w:t xml:space="preserve"> for example may be concerned with disclosure. They may be concerned about when and who to share </w:t>
      </w:r>
      <w:r w:rsidR="003372A0">
        <w:t>that they have an</w:t>
      </w:r>
      <w:r w:rsidR="001B2722">
        <w:t xml:space="preserve"> ostomy. </w:t>
      </w:r>
      <w:r w:rsidR="003372A0">
        <w:t>Erickson identifies adolescence as</w:t>
      </w:r>
      <w:r w:rsidR="008D2F42">
        <w:t xml:space="preserve"> identity versus role confusion. An ostomy may have an impact </w:t>
      </w:r>
      <w:r w:rsidR="003372A0">
        <w:t xml:space="preserve">on body image and perception of self-worth. </w:t>
      </w:r>
      <w:r w:rsidR="008D2F42">
        <w:t xml:space="preserve">They may fear that they may have lost the ability to find someone and be in a normal </w:t>
      </w:r>
      <w:r w:rsidR="003372A0">
        <w:t>relationship.</w:t>
      </w:r>
      <w:r w:rsidR="008D2F42">
        <w:t xml:space="preserve"> </w:t>
      </w:r>
      <w:r w:rsidR="003372A0">
        <w:t xml:space="preserve">Erickson </w:t>
      </w:r>
      <w:r w:rsidR="00DC28DF">
        <w:t>identifies t</w:t>
      </w:r>
      <w:r w:rsidR="003372A0">
        <w:t>he young adult</w:t>
      </w:r>
      <w:r w:rsidR="00DC28DF">
        <w:t xml:space="preserve"> as intimacy versus isolation. Both men and women in this age group may feel that they will be rejected by someone and not be able to develop a long-term relationship. A middle-aged adult that is already in a relationship may fear how their previous role in a relationship may affect their current situation.</w:t>
      </w:r>
      <w:r w:rsidR="00E51490">
        <w:t xml:space="preserve"> They may fear that they may have lost the ability to function sexually in their relationship.</w:t>
      </w:r>
      <w:r w:rsidR="00DC28DF">
        <w:t xml:space="preserve"> </w:t>
      </w:r>
      <w:r w:rsidR="00E51490">
        <w:t>Erickson describes t</w:t>
      </w:r>
      <w:r w:rsidR="00DC28DF">
        <w:t>he older adult</w:t>
      </w:r>
      <w:r w:rsidR="00E51490">
        <w:t xml:space="preserve"> in the stage of integrity versus despair. </w:t>
      </w:r>
      <w:r w:rsidR="00E51490">
        <w:lastRenderedPageBreak/>
        <w:t>The older adult may feel overwhelmed and alone and fear not being able to independently care for the ostomy. It is worth mentioning that there is the possibility that concerns may vary</w:t>
      </w:r>
      <w:r w:rsidR="000C63E4">
        <w:t>. I</w:t>
      </w:r>
      <w:r w:rsidR="00E51490">
        <w:t xml:space="preserve">n both men, and women similar concerns may be present regardless of what stage in life someone is in. Both men and women regardless of age may develop different short term or long-term sexual dysfunctions that may </w:t>
      </w:r>
      <w:r w:rsidR="000C63E4">
        <w:t xml:space="preserve">negatively influence their </w:t>
      </w:r>
      <w:r w:rsidR="00E51490">
        <w:t xml:space="preserve">body image, self-concept, and sexual function. Men may develop erectile </w:t>
      </w:r>
      <w:r w:rsidR="000C63E4">
        <w:t>dysfunction,</w:t>
      </w:r>
      <w:r w:rsidR="00E51490">
        <w:t xml:space="preserve"> and both may develop loss of libido. </w:t>
      </w:r>
      <w:r w:rsidR="000C63E4">
        <w:t xml:space="preserve">Women may develop vaginal dryness and dyspareunia (Carmel &amp; </w:t>
      </w:r>
      <w:proofErr w:type="spellStart"/>
      <w:r w:rsidR="000C63E4">
        <w:t>Scardillo</w:t>
      </w:r>
      <w:proofErr w:type="spellEnd"/>
      <w:r w:rsidR="00D56BE6">
        <w:t>, 2022</w:t>
      </w:r>
      <w:r w:rsidR="00277EAF">
        <w:t>).</w:t>
      </w:r>
    </w:p>
    <w:p w14:paraId="7BE08805" w14:textId="77777777" w:rsidR="00277EAF" w:rsidRDefault="00277EAF" w:rsidP="00277EAF"/>
    <w:p w14:paraId="0354FBE3" w14:textId="7175EE79" w:rsidR="00277EAF" w:rsidRDefault="00277EAF" w:rsidP="00277EAF">
      <w:pPr>
        <w:pStyle w:val="ListParagraph"/>
        <w:numPr>
          <w:ilvl w:val="0"/>
          <w:numId w:val="4"/>
        </w:numPr>
        <w:jc w:val="both"/>
      </w:pPr>
      <w:r>
        <w:t xml:space="preserve">Identify safe sex considerations that should be taught to the person with an ostomy. </w:t>
      </w:r>
    </w:p>
    <w:p w14:paraId="391BE7B8" w14:textId="052B3B33" w:rsidR="00277EAF" w:rsidRDefault="00277EAF" w:rsidP="00277EAF">
      <w:pPr>
        <w:jc w:val="both"/>
      </w:pPr>
      <w:r>
        <w:t>Safe sex considerations are an important topic of conversation for persons with an ostomy</w:t>
      </w:r>
      <w:r w:rsidR="001431AF">
        <w:t xml:space="preserve"> and should not be overlooked. </w:t>
      </w:r>
      <w:r>
        <w:t xml:space="preserve">Patients may feel uncomfortable discussing these concerns. It is important to </w:t>
      </w:r>
      <w:r w:rsidR="001431AF">
        <w:t xml:space="preserve">incorporate sexual considerations as part of the lesson plans in ostomy patient education. </w:t>
      </w:r>
      <w:r w:rsidR="00EA08D4">
        <w:t xml:space="preserve">It will need to be reinforced that sexual intimacy is important in a sexual relationship and normal part of life and should continue after ostomy surgery. There will be a period of adjustment for both parties in the relationship. An important aspect is communication. Single people may have a harder time </w:t>
      </w:r>
      <w:r w:rsidR="0088220B">
        <w:t xml:space="preserve">when considering it appropriate to discuss that they have an ostomy prior to initiating an intimate relationship with someone. It should be encouraged that couples inquire about concerns together as a couple and express what their concerns may be. The partner may be afraid to hurt the stoma during sexual intimacy. </w:t>
      </w:r>
      <w:r w:rsidR="00FE09A7">
        <w:t xml:space="preserve">The patient with the stoma may feel uncomfortable </w:t>
      </w:r>
      <w:r w:rsidR="00F04472">
        <w:t>and embarrassed with the ostomy. It is important to validate patient and partner concerns and encourage that it will be a learning process and that it is normal.</w:t>
      </w:r>
      <w:r w:rsidR="00346173">
        <w:t xml:space="preserve"> As a safe practice is to empty the pouch before intimacy</w:t>
      </w:r>
      <w:r w:rsidR="00F04472">
        <w:t xml:space="preserve"> (American Cancer Society</w:t>
      </w:r>
      <w:r w:rsidR="0095212C">
        <w:t>, 2023</w:t>
      </w:r>
      <w:r w:rsidR="00F04472">
        <w:t>)</w:t>
      </w:r>
      <w:r w:rsidR="008D5FE3">
        <w:t xml:space="preserve">. It is important to educate patients that the stoma should never be used for sexual purposes. Objects should not be inserted in the stoma can damage the stoma and </w:t>
      </w:r>
      <w:r w:rsidR="0018258F">
        <w:t>mucocutaneous junction</w:t>
      </w:r>
      <w:r w:rsidR="008D5FE3">
        <w:t>. The stoma cannot produce a pleasurable response</w:t>
      </w:r>
      <w:r w:rsidR="0018258F">
        <w:t xml:space="preserve"> (Carmel &amp; </w:t>
      </w:r>
      <w:proofErr w:type="spellStart"/>
      <w:r w:rsidR="0018258F">
        <w:t>Scardillo</w:t>
      </w:r>
      <w:proofErr w:type="spellEnd"/>
      <w:r w:rsidR="00D56BE6">
        <w:t>, 2022</w:t>
      </w:r>
      <w:r w:rsidR="0018258F">
        <w:t>)</w:t>
      </w:r>
      <w:r w:rsidR="008D5FE3">
        <w:t xml:space="preserve">.  </w:t>
      </w:r>
      <w:r w:rsidR="00F04472">
        <w:t xml:space="preserve">   </w:t>
      </w:r>
      <w:r w:rsidR="0088220B">
        <w:t xml:space="preserve">      </w:t>
      </w:r>
      <w:r w:rsidR="008D5FE3">
        <w:t xml:space="preserve"> </w:t>
      </w:r>
      <w:r w:rsidR="0088220B">
        <w:t xml:space="preserve">     </w:t>
      </w:r>
      <w:r w:rsidR="00EA08D4">
        <w:t xml:space="preserve"> </w:t>
      </w:r>
      <w:r w:rsidR="001431AF">
        <w:t xml:space="preserve"> </w:t>
      </w:r>
    </w:p>
    <w:p w14:paraId="07F2D1B3" w14:textId="0831DC63" w:rsidR="007E32D1" w:rsidRDefault="00D77622" w:rsidP="00277EAF">
      <w:r>
        <w:t xml:space="preserve"> </w:t>
      </w:r>
    </w:p>
    <w:p w14:paraId="4A200015" w14:textId="77777777" w:rsidR="00277EAF" w:rsidRDefault="00277EAF" w:rsidP="00277EAF"/>
    <w:p w14:paraId="6487E5F1" w14:textId="77777777" w:rsidR="00277EAF" w:rsidRDefault="00277EAF" w:rsidP="00277EAF">
      <w:pPr>
        <w:ind w:left="360"/>
        <w:jc w:val="both"/>
      </w:pPr>
    </w:p>
    <w:p w14:paraId="53ADB45F" w14:textId="4A7D99BA" w:rsidR="007E32D1" w:rsidRDefault="007E32D1" w:rsidP="00277EAF">
      <w:pPr>
        <w:ind w:left="360"/>
        <w:jc w:val="both"/>
      </w:pPr>
    </w:p>
    <w:p w14:paraId="49ED8AC2" w14:textId="77777777" w:rsidR="007E32D1" w:rsidRDefault="007E32D1" w:rsidP="00277EAF">
      <w:pPr>
        <w:pStyle w:val="ListParagraph"/>
        <w:numPr>
          <w:ilvl w:val="0"/>
          <w:numId w:val="4"/>
        </w:numPr>
        <w:jc w:val="both"/>
      </w:pPr>
      <w:r>
        <w:t xml:space="preserve">Describe how each of the following categories can help to promote a healthy body image for the person with an ostomy. Be sure to include at least one example for each category. </w:t>
      </w:r>
    </w:p>
    <w:p w14:paraId="5FD31F37" w14:textId="77777777" w:rsidR="00C41D5C" w:rsidRDefault="00575F88" w:rsidP="00575F88">
      <w:pPr>
        <w:ind w:left="360"/>
        <w:jc w:val="both"/>
      </w:pPr>
      <w:r>
        <w:t xml:space="preserve">There are different things that people with ostomies can modify, adjust, and add on to help promote a healthy body image. </w:t>
      </w:r>
      <w:r w:rsidR="001A33A2">
        <w:t xml:space="preserve">In the case of the patient that is planning a wedding this will likely be of interest. Whether it is a bride or groom the thought of leakage or someone noticing that he or she has an ostomy pouch, that may leak, and there may be odor is a normal concern. It is natural that the bride will want to </w:t>
      </w:r>
      <w:r w:rsidR="00C41D5C">
        <w:t xml:space="preserve">keep the </w:t>
      </w:r>
      <w:r w:rsidR="00C41D5C">
        <w:lastRenderedPageBreak/>
        <w:t xml:space="preserve">ostomy hidden and not obvious with a wedding dress. The same is true for </w:t>
      </w:r>
      <w:r w:rsidR="001A33A2">
        <w:t>the patient being marked for the ostomy prior to surgery</w:t>
      </w:r>
      <w:r w:rsidR="00C41D5C">
        <w:t>. T</w:t>
      </w:r>
      <w:r w:rsidR="001A33A2">
        <w:t>his patient will likely need reinforcement after surgery as</w:t>
      </w:r>
      <w:r w:rsidR="00C41D5C">
        <w:t xml:space="preserve"> it</w:t>
      </w:r>
      <w:r w:rsidR="001A33A2">
        <w:t xml:space="preserve"> is </w:t>
      </w:r>
      <w:r w:rsidR="00C41D5C">
        <w:t xml:space="preserve">an acute issue, and likely this patient will be overwhelmed with multiple ostomy concerns. </w:t>
      </w:r>
      <w:r w:rsidR="001A33A2">
        <w:t xml:space="preserve"> </w:t>
      </w:r>
    </w:p>
    <w:p w14:paraId="58FE2B7F" w14:textId="576F7E15" w:rsidR="00C41D5C" w:rsidRDefault="00C41D5C" w:rsidP="00575F88">
      <w:pPr>
        <w:ind w:left="360"/>
        <w:jc w:val="both"/>
      </w:pPr>
      <w:r>
        <w:t>Undergarments</w:t>
      </w:r>
      <w:r w:rsidR="0033086B">
        <w:t xml:space="preserve"> can help promote positive body image. Undergarment education should be focused on what the patient needs at the time. An undergarment for a </w:t>
      </w:r>
      <w:r w:rsidR="004904A8">
        <w:t>20-year-old</w:t>
      </w:r>
      <w:r w:rsidR="0033086B">
        <w:t xml:space="preserve"> will be different than one that an </w:t>
      </w:r>
      <w:r w:rsidR="004904A8">
        <w:t>80-year-old</w:t>
      </w:r>
      <w:r w:rsidR="0033086B">
        <w:t xml:space="preserve"> may be interested in.</w:t>
      </w:r>
      <w:r w:rsidR="00B32389">
        <w:t xml:space="preserve"> It is important when educating the patient to explore concerns and interests to help with suggestions that promote a healthy body image.</w:t>
      </w:r>
      <w:r w:rsidR="0033086B">
        <w:t xml:space="preserve"> </w:t>
      </w:r>
      <w:r w:rsidR="004904A8">
        <w:t xml:space="preserve">There are supply catalogs with a range of different undergarments that are available depending on what the patient is looking for. </w:t>
      </w:r>
      <w:r w:rsidR="00B32389">
        <w:t xml:space="preserve">There are undergarments that help conceal a pouch for example.  </w:t>
      </w:r>
    </w:p>
    <w:p w14:paraId="1CDD3627" w14:textId="7F4225FE" w:rsidR="005C33C1" w:rsidRDefault="005C33C1" w:rsidP="00575F88">
      <w:pPr>
        <w:ind w:left="360"/>
        <w:jc w:val="both"/>
      </w:pPr>
      <w:r>
        <w:t>Odor Control is important in promoting a healthy body image and self-conception. One of the most important things that needs to be reinforced to patients with ostomies is that the ostomy appliance should not smell if it fits properly and is intact.</w:t>
      </w:r>
      <w:r w:rsidR="00C4428B">
        <w:t xml:space="preserve"> Odor should only occur when the appliance is emptied.</w:t>
      </w:r>
      <w:r>
        <w:t xml:space="preserve"> An odor may indicate that there is a leakage. Assuring that the appliance is on appropriately can help prevent leakage. Emptying the appliance bag in a timely manner can also help prevent leakage</w:t>
      </w:r>
      <w:r w:rsidR="00C4428B">
        <w:t xml:space="preserve"> and odor</w:t>
      </w:r>
      <w:r>
        <w:t xml:space="preserve">. Cleaning </w:t>
      </w:r>
      <w:r w:rsidR="00C4428B">
        <w:t xml:space="preserve">the bag tail and washing the clip is also important to prevent odor. There are varies products including deodorants and odor eliminators that can be applied to the pouching system to help prevent odors. There also </w:t>
      </w:r>
      <w:r w:rsidR="008019FD">
        <w:t>products people can take orally to help prevent odors. One such product is Bismuth subgallate (</w:t>
      </w:r>
      <w:proofErr w:type="spellStart"/>
      <w:r w:rsidR="008019FD">
        <w:t>Devrom</w:t>
      </w:r>
      <w:proofErr w:type="spellEnd"/>
      <w:r w:rsidR="008019FD">
        <w:t>). It is important to educate patients to consult their primary physician or surgeon when taking something orally (</w:t>
      </w:r>
      <w:proofErr w:type="spellStart"/>
      <w:r w:rsidR="008019FD">
        <w:t>Carmerl</w:t>
      </w:r>
      <w:proofErr w:type="spellEnd"/>
      <w:r w:rsidR="008019FD">
        <w:t xml:space="preserve"> &amp; </w:t>
      </w:r>
      <w:proofErr w:type="spellStart"/>
      <w:r w:rsidR="008019FD">
        <w:t>Scardillo</w:t>
      </w:r>
      <w:proofErr w:type="spellEnd"/>
      <w:r w:rsidR="00D56BE6">
        <w:t>, 2022</w:t>
      </w:r>
      <w:r w:rsidR="00A126DB">
        <w:t>).</w:t>
      </w:r>
      <w:r w:rsidR="008019FD">
        <w:t xml:space="preserve"> </w:t>
      </w:r>
      <w:r w:rsidR="00C4428B">
        <w:t xml:space="preserve"> </w:t>
      </w:r>
      <w:r>
        <w:t xml:space="preserve"> </w:t>
      </w:r>
    </w:p>
    <w:p w14:paraId="25B5C697" w14:textId="7D3E1970" w:rsidR="0033086B" w:rsidRDefault="008019FD" w:rsidP="0033086B">
      <w:pPr>
        <w:ind w:left="360"/>
        <w:jc w:val="both"/>
      </w:pPr>
      <w:r>
        <w:t xml:space="preserve">Pouch modifications are also </w:t>
      </w:r>
      <w:r w:rsidR="00052F5E">
        <w:t xml:space="preserve">a way that can help promote a positive body image. It is important to consider a patient’s primary concern and type of ostomy when educating and promoting innovative ideas to change or modify a pouching system. A low- profile ostomy </w:t>
      </w:r>
      <w:r w:rsidR="0095212C">
        <w:t xml:space="preserve">can help </w:t>
      </w:r>
      <w:r w:rsidR="00052F5E">
        <w:t xml:space="preserve">to ensure the ostomy is concealed under clothing. </w:t>
      </w:r>
      <w:r w:rsidR="00A126DB">
        <w:t>An e</w:t>
      </w:r>
      <w:r w:rsidR="00052F5E">
        <w:t xml:space="preserve">lastic support can also help secure the ostomy system (Carmel &amp; </w:t>
      </w:r>
      <w:proofErr w:type="spellStart"/>
      <w:r w:rsidR="00052F5E">
        <w:t>Scardillo</w:t>
      </w:r>
      <w:proofErr w:type="spellEnd"/>
      <w:r w:rsidR="00D56BE6">
        <w:t>, 2022</w:t>
      </w:r>
      <w:r w:rsidR="00052F5E">
        <w:t xml:space="preserve">). </w:t>
      </w:r>
      <w:r w:rsidR="00A126DB">
        <w:t xml:space="preserve">There </w:t>
      </w:r>
      <w:r w:rsidR="00052F5E">
        <w:t>are also varies decorate pouc</w:t>
      </w:r>
      <w:r w:rsidR="00A126DB">
        <w:t>h covering</w:t>
      </w:r>
      <w:r w:rsidR="0033086B">
        <w:t xml:space="preserve">s with different decorations and colors. There are also opaque pouching systems available that hide the stool. It is important to mention that opaque pouching systems should not be used in the acute hospital setting as it is important to visualize the stoma and stool. </w:t>
      </w:r>
    </w:p>
    <w:p w14:paraId="1B47A5FD" w14:textId="77777777" w:rsidR="007E32D1" w:rsidRDefault="007E32D1" w:rsidP="007E32D1">
      <w:pPr>
        <w:jc w:val="both"/>
      </w:pPr>
    </w:p>
    <w:p w14:paraId="6AEF7CDC" w14:textId="1356A1CF" w:rsidR="007E32D1" w:rsidRDefault="007E32D1" w:rsidP="000467E9">
      <w:pPr>
        <w:pStyle w:val="ListParagraph"/>
        <w:numPr>
          <w:ilvl w:val="0"/>
          <w:numId w:val="4"/>
        </w:numPr>
        <w:jc w:val="both"/>
      </w:pPr>
      <w:r>
        <w:t xml:space="preserve">Explain how the PLISSIT model guides the conversation on sexual intimacy. </w:t>
      </w:r>
    </w:p>
    <w:p w14:paraId="3914CCB6" w14:textId="37C96596" w:rsidR="004834C1" w:rsidRDefault="004834C1" w:rsidP="004834C1">
      <w:pPr>
        <w:ind w:left="360"/>
        <w:jc w:val="both"/>
      </w:pPr>
      <w:r>
        <w:t>Sexual dysfunction is a known and common post operative complication because of some surgical procedures involving ostomies. It is not usually an ostomy but the surgery that was done that results in a sexual dysfunction. As a result, the ostomy nurse will have patients with a variety of sexual dysfunction issues.  The PLISSIT model stands for permission, limited information, specific suggestion, and intensive therapy. It is a model that is used as a tool for improving counseling in sexual dysfunction</w:t>
      </w:r>
      <w:r w:rsidR="009E4DC3">
        <w:t xml:space="preserve"> (Ghafoori et al., 2022)</w:t>
      </w:r>
      <w:r>
        <w:t xml:space="preserve">. </w:t>
      </w:r>
      <w:r w:rsidR="009E4DC3">
        <w:t>The PLISSIT model can be used by the nurse</w:t>
      </w:r>
      <w:r w:rsidR="00755648">
        <w:t xml:space="preserve"> or ostomy nurse </w:t>
      </w:r>
      <w:r w:rsidR="009E4DC3">
        <w:t xml:space="preserve">when patient concerns with sexual dysfunction are identified. </w:t>
      </w:r>
      <w:r w:rsidR="00755648">
        <w:t xml:space="preserve">In the PLISSIT model there are four levels of response to </w:t>
      </w:r>
      <w:r w:rsidR="00755648">
        <w:lastRenderedPageBreak/>
        <w:t xml:space="preserve">issues involving sexual health. The model encourages the nurse or ostomy nurse </w:t>
      </w:r>
      <w:r w:rsidR="00494C77">
        <w:t xml:space="preserve">to discuss </w:t>
      </w:r>
      <w:r w:rsidR="00EC65BF">
        <w:t xml:space="preserve">concerns </w:t>
      </w:r>
      <w:r w:rsidR="00494C77">
        <w:t>at a comfortable</w:t>
      </w:r>
      <w:r w:rsidR="00EC65BF">
        <w:t xml:space="preserve"> level.</w:t>
      </w:r>
      <w:r w:rsidR="00755648">
        <w:t xml:space="preserve"> This model allows the nurse to work with permission and </w:t>
      </w:r>
      <w:r w:rsidR="00EC65BF">
        <w:t xml:space="preserve">at the </w:t>
      </w:r>
      <w:r w:rsidR="00755648">
        <w:t xml:space="preserve">limited information stage. In the permission </w:t>
      </w:r>
      <w:r w:rsidR="00494C77">
        <w:t>stage,</w:t>
      </w:r>
      <w:r w:rsidR="00755648">
        <w:t xml:space="preserve"> the patient </w:t>
      </w:r>
      <w:r w:rsidR="00494C77">
        <w:t>can</w:t>
      </w:r>
      <w:r w:rsidR="00755648">
        <w:t xml:space="preserve"> communicate his or her sexual concerns.</w:t>
      </w:r>
      <w:r w:rsidR="00494C77">
        <w:t xml:space="preserve"> An understanding of an issue in the limited phase allows the nurse to refer to WOC nurse if indicated (Carmel </w:t>
      </w:r>
      <w:r w:rsidR="00D56BE6">
        <w:t>&amp;</w:t>
      </w:r>
      <w:r w:rsidR="00494C77">
        <w:t xml:space="preserve"> Scardillo</w:t>
      </w:r>
      <w:r w:rsidR="00D56BE6">
        <w:t>,2022</w:t>
      </w:r>
      <w:r w:rsidR="00494C77">
        <w:t xml:space="preserve">). This can also be applied to the WOC nurse. If the sexual concerns or issues are above her scope of </w:t>
      </w:r>
      <w:r w:rsidR="00EC65BF">
        <w:t>practice,</w:t>
      </w:r>
      <w:r w:rsidR="00494C77">
        <w:t xml:space="preserve"> then the WOC nurse may have to be the collaborator for another referral.     </w:t>
      </w:r>
      <w:r w:rsidR="00755648">
        <w:t xml:space="preserve">    </w:t>
      </w:r>
      <w:r w:rsidR="009E4DC3">
        <w:t xml:space="preserve"> </w:t>
      </w:r>
      <w:r>
        <w:t xml:space="preserve">   </w:t>
      </w:r>
    </w:p>
    <w:p w14:paraId="707BAC67" w14:textId="77777777" w:rsidR="008466E7" w:rsidRDefault="008466E7" w:rsidP="007E32D1">
      <w:pPr>
        <w:jc w:val="both"/>
      </w:pPr>
    </w:p>
    <w:p w14:paraId="1D90A0F6" w14:textId="77777777" w:rsidR="008466E7" w:rsidRDefault="008466E7" w:rsidP="007E32D1">
      <w:pPr>
        <w:jc w:val="both"/>
      </w:pPr>
    </w:p>
    <w:p w14:paraId="38D98AFD" w14:textId="77777777" w:rsidR="008466E7" w:rsidRDefault="008466E7" w:rsidP="007E32D1">
      <w:pPr>
        <w:jc w:val="both"/>
      </w:pPr>
    </w:p>
    <w:p w14:paraId="384D3328" w14:textId="77777777" w:rsidR="008466E7" w:rsidRDefault="008466E7" w:rsidP="007E32D1">
      <w:pPr>
        <w:jc w:val="both"/>
      </w:pPr>
    </w:p>
    <w:p w14:paraId="7CBAB784" w14:textId="77777777" w:rsidR="008466E7" w:rsidRDefault="008466E7" w:rsidP="007E32D1">
      <w:pPr>
        <w:jc w:val="both"/>
      </w:pPr>
    </w:p>
    <w:p w14:paraId="25D2F686" w14:textId="77777777" w:rsidR="008466E7" w:rsidRDefault="008466E7" w:rsidP="007E32D1">
      <w:pPr>
        <w:jc w:val="both"/>
      </w:pPr>
    </w:p>
    <w:p w14:paraId="50AD358A" w14:textId="77777777" w:rsidR="008466E7" w:rsidRDefault="008466E7" w:rsidP="007E32D1">
      <w:pPr>
        <w:jc w:val="both"/>
      </w:pPr>
    </w:p>
    <w:p w14:paraId="325637F8" w14:textId="77777777" w:rsidR="008466E7" w:rsidRDefault="008466E7" w:rsidP="007E32D1">
      <w:pPr>
        <w:jc w:val="both"/>
      </w:pPr>
    </w:p>
    <w:p w14:paraId="1B202AC5" w14:textId="77777777" w:rsidR="008466E7" w:rsidRDefault="008466E7" w:rsidP="007E32D1">
      <w:pPr>
        <w:jc w:val="both"/>
      </w:pPr>
    </w:p>
    <w:p w14:paraId="7028850E" w14:textId="77777777" w:rsidR="00AE1E25" w:rsidRDefault="00AE1E25" w:rsidP="007E32D1">
      <w:pPr>
        <w:jc w:val="both"/>
      </w:pPr>
    </w:p>
    <w:p w14:paraId="6043221C" w14:textId="77777777" w:rsidR="00AE1E25" w:rsidRDefault="00AE1E25" w:rsidP="007E32D1">
      <w:pPr>
        <w:jc w:val="both"/>
      </w:pPr>
    </w:p>
    <w:p w14:paraId="7F683E1F" w14:textId="77777777" w:rsidR="00AE1E25" w:rsidRDefault="00AE1E25" w:rsidP="007E32D1">
      <w:pPr>
        <w:jc w:val="both"/>
      </w:pPr>
    </w:p>
    <w:p w14:paraId="512E142F" w14:textId="77777777" w:rsidR="00AE1E25" w:rsidRDefault="00AE1E25" w:rsidP="007E32D1">
      <w:pPr>
        <w:jc w:val="both"/>
      </w:pPr>
    </w:p>
    <w:p w14:paraId="0095EAF4" w14:textId="77777777" w:rsidR="007E32D1" w:rsidRDefault="007E32D1" w:rsidP="007E32D1">
      <w:pPr>
        <w:jc w:val="both"/>
      </w:pPr>
    </w:p>
    <w:p w14:paraId="12633CD4" w14:textId="77777777" w:rsidR="007E32D1" w:rsidRDefault="007E32D1" w:rsidP="00277EAF">
      <w:pPr>
        <w:pStyle w:val="ListParagraph"/>
        <w:numPr>
          <w:ilvl w:val="0"/>
          <w:numId w:val="4"/>
        </w:numPr>
        <w:jc w:val="both"/>
      </w:pPr>
      <w:r>
        <w:t xml:space="preserve">List the references used to develop and cite this assignment. </w:t>
      </w:r>
    </w:p>
    <w:p w14:paraId="04214E9D" w14:textId="77777777" w:rsidR="00B40FA0" w:rsidRPr="00364683" w:rsidRDefault="007E32D1" w:rsidP="00277EAF">
      <w:pPr>
        <w:pStyle w:val="ListParagraph"/>
        <w:numPr>
          <w:ilvl w:val="1"/>
          <w:numId w:val="5"/>
        </w:numPr>
        <w:jc w:val="both"/>
      </w:pPr>
      <w:r>
        <w:rPr>
          <w:i/>
        </w:rPr>
        <w:t xml:space="preserve">See the course syllabus for specific reference requirements. </w:t>
      </w:r>
    </w:p>
    <w:p w14:paraId="294265AE" w14:textId="77777777" w:rsidR="00364683" w:rsidRDefault="00364683" w:rsidP="00364683">
      <w:pPr>
        <w:spacing w:after="0" w:line="240" w:lineRule="auto"/>
        <w:ind w:left="360"/>
        <w:textAlignment w:val="baseline"/>
        <w:rPr>
          <w:rFonts w:ascii="Helvetica" w:eastAsia="Times New Roman" w:hAnsi="Helvetica" w:cs="Helvetica"/>
          <w:color w:val="595959"/>
          <w:sz w:val="20"/>
          <w:szCs w:val="20"/>
        </w:rPr>
      </w:pPr>
    </w:p>
    <w:p w14:paraId="1ACE94A4" w14:textId="77777777" w:rsidR="00333EAC" w:rsidRDefault="00333EAC" w:rsidP="00364683">
      <w:pPr>
        <w:spacing w:after="0" w:line="240" w:lineRule="auto"/>
        <w:ind w:left="360"/>
        <w:jc w:val="center"/>
        <w:textAlignment w:val="baseline"/>
        <w:rPr>
          <w:rFonts w:ascii="Helvetica" w:eastAsia="Times New Roman" w:hAnsi="Helvetica" w:cs="Helvetica"/>
          <w:color w:val="595959"/>
          <w:sz w:val="20"/>
          <w:szCs w:val="20"/>
        </w:rPr>
      </w:pPr>
    </w:p>
    <w:p w14:paraId="7BFE853A" w14:textId="77777777" w:rsidR="00333EAC" w:rsidRDefault="00333EAC" w:rsidP="00364683">
      <w:pPr>
        <w:spacing w:after="0" w:line="240" w:lineRule="auto"/>
        <w:ind w:left="360"/>
        <w:jc w:val="center"/>
        <w:textAlignment w:val="baseline"/>
        <w:rPr>
          <w:rFonts w:ascii="Helvetica" w:eastAsia="Times New Roman" w:hAnsi="Helvetica" w:cs="Helvetica"/>
          <w:color w:val="595959"/>
          <w:sz w:val="20"/>
          <w:szCs w:val="20"/>
        </w:rPr>
      </w:pPr>
    </w:p>
    <w:p w14:paraId="738436A6" w14:textId="77777777" w:rsidR="00333EAC" w:rsidRDefault="00333EAC" w:rsidP="00364683">
      <w:pPr>
        <w:spacing w:after="0" w:line="240" w:lineRule="auto"/>
        <w:ind w:left="360"/>
        <w:jc w:val="center"/>
        <w:textAlignment w:val="baseline"/>
        <w:rPr>
          <w:rFonts w:ascii="Helvetica" w:eastAsia="Times New Roman" w:hAnsi="Helvetica" w:cs="Helvetica"/>
          <w:color w:val="595959"/>
          <w:sz w:val="20"/>
          <w:szCs w:val="20"/>
        </w:rPr>
      </w:pPr>
    </w:p>
    <w:p w14:paraId="0B2315E1" w14:textId="1BDFCB3A" w:rsidR="00364683" w:rsidRDefault="00364683" w:rsidP="00364683">
      <w:pPr>
        <w:spacing w:after="0" w:line="240" w:lineRule="auto"/>
        <w:ind w:left="360"/>
        <w:jc w:val="center"/>
        <w:textAlignment w:val="baseline"/>
        <w:rPr>
          <w:rFonts w:ascii="Helvetica" w:eastAsia="Times New Roman" w:hAnsi="Helvetica" w:cs="Helvetica"/>
          <w:color w:val="595959"/>
          <w:sz w:val="20"/>
          <w:szCs w:val="20"/>
        </w:rPr>
      </w:pPr>
      <w:r>
        <w:rPr>
          <w:rFonts w:ascii="Helvetica" w:eastAsia="Times New Roman" w:hAnsi="Helvetica" w:cs="Helvetica"/>
          <w:color w:val="595959"/>
          <w:sz w:val="20"/>
          <w:szCs w:val="20"/>
        </w:rPr>
        <w:t>References</w:t>
      </w:r>
    </w:p>
    <w:p w14:paraId="15C66468" w14:textId="77777777" w:rsidR="008D5FE3" w:rsidRDefault="008D5FE3" w:rsidP="00364683">
      <w:pPr>
        <w:spacing w:after="0" w:line="240" w:lineRule="auto"/>
        <w:ind w:left="360"/>
        <w:jc w:val="center"/>
        <w:textAlignment w:val="baseline"/>
        <w:rPr>
          <w:rFonts w:ascii="Helvetica" w:eastAsia="Times New Roman" w:hAnsi="Helvetica" w:cs="Helvetica"/>
          <w:color w:val="595959"/>
          <w:sz w:val="20"/>
          <w:szCs w:val="20"/>
        </w:rPr>
      </w:pPr>
    </w:p>
    <w:p w14:paraId="6EB45838" w14:textId="38B78DCD" w:rsidR="008D5FE3" w:rsidRDefault="008D5FE3" w:rsidP="008D5FE3">
      <w:pPr>
        <w:spacing w:after="0" w:line="240" w:lineRule="auto"/>
        <w:ind w:left="360"/>
        <w:textAlignment w:val="baseline"/>
        <w:rPr>
          <w:rFonts w:ascii="Helvetica" w:eastAsia="Times New Roman" w:hAnsi="Helvetica" w:cs="Helvetica"/>
          <w:color w:val="595959"/>
          <w:sz w:val="20"/>
          <w:szCs w:val="20"/>
        </w:rPr>
      </w:pPr>
      <w:r>
        <w:rPr>
          <w:rFonts w:ascii="Helvetica" w:eastAsia="Times New Roman" w:hAnsi="Helvetica" w:cs="Helvetica"/>
          <w:color w:val="595959"/>
          <w:sz w:val="20"/>
          <w:szCs w:val="20"/>
        </w:rPr>
        <w:t xml:space="preserve">American Cancer Society. (2023). Intimacy and Sexuality When You Have an Ostomy. </w:t>
      </w:r>
      <w:r w:rsidRPr="008D5FE3">
        <w:rPr>
          <w:rFonts w:ascii="Helvetica" w:eastAsia="Times New Roman" w:hAnsi="Helvetica" w:cs="Helvetica"/>
          <w:color w:val="595959"/>
          <w:sz w:val="20"/>
          <w:szCs w:val="20"/>
        </w:rPr>
        <w:t>https://www.cancer.org/cancer/managing-cancer/treatment-types/surgery/ostomies/stomas-or-ostomies/sex.html</w:t>
      </w:r>
    </w:p>
    <w:p w14:paraId="1742BEBF" w14:textId="77777777" w:rsidR="00BE65FA" w:rsidRDefault="00BE65FA" w:rsidP="00364683">
      <w:pPr>
        <w:spacing w:after="0" w:line="240" w:lineRule="auto"/>
        <w:ind w:left="360"/>
        <w:jc w:val="center"/>
        <w:textAlignment w:val="baseline"/>
        <w:rPr>
          <w:rFonts w:ascii="Helvetica" w:eastAsia="Times New Roman" w:hAnsi="Helvetica" w:cs="Helvetica"/>
          <w:color w:val="595959"/>
          <w:sz w:val="20"/>
          <w:szCs w:val="20"/>
        </w:rPr>
      </w:pPr>
    </w:p>
    <w:p w14:paraId="65AF4010" w14:textId="56D98171" w:rsidR="00BE65FA" w:rsidRDefault="00BE65FA" w:rsidP="00BE65FA">
      <w:pPr>
        <w:spacing w:after="0" w:line="240" w:lineRule="auto"/>
        <w:ind w:left="360"/>
        <w:textAlignment w:val="baseline"/>
      </w:pPr>
      <w:r>
        <w:t xml:space="preserve">Carmel, J. &amp; Goldberg, M. T. (2022). Postoperative education for the patient with a fecal or urinary diversion. </w:t>
      </w:r>
      <w:bookmarkStart w:id="0" w:name="_Hlk149419325"/>
      <w:r>
        <w:t xml:space="preserve">In J. Carmel, J. Colwell, &amp;             Goldberg (Eds.), </w:t>
      </w:r>
      <w:r w:rsidRPr="00974BA5">
        <w:rPr>
          <w:i/>
          <w:iCs/>
        </w:rPr>
        <w:t>Wound, Ostomy, and Continence Nursing Society core curriculum: Ostomy management</w:t>
      </w:r>
      <w:r>
        <w:t>. (2</w:t>
      </w:r>
      <w:r w:rsidRPr="0049442A">
        <w:rPr>
          <w:vertAlign w:val="superscript"/>
        </w:rPr>
        <w:t>nd</w:t>
      </w:r>
      <w:r>
        <w:t xml:space="preserve"> ed., </w:t>
      </w:r>
      <w:r w:rsidR="008019FD">
        <w:t>p.</w:t>
      </w:r>
      <w:r>
        <w:t>p. 195</w:t>
      </w:r>
      <w:r w:rsidR="008019FD">
        <w:t>-</w:t>
      </w:r>
      <w:r w:rsidR="009E4DC3">
        <w:t>198</w:t>
      </w:r>
      <w:r>
        <w:t xml:space="preserve">). Wolters-Kluwer. </w:t>
      </w:r>
      <w:bookmarkEnd w:id="0"/>
    </w:p>
    <w:p w14:paraId="0882EE5B" w14:textId="77777777" w:rsidR="00391801" w:rsidRDefault="00391801" w:rsidP="00BE65FA">
      <w:pPr>
        <w:spacing w:after="0" w:line="240" w:lineRule="auto"/>
        <w:ind w:left="360"/>
        <w:textAlignment w:val="baseline"/>
      </w:pPr>
    </w:p>
    <w:p w14:paraId="464FDD12" w14:textId="632719F1" w:rsidR="00391801" w:rsidRDefault="00391801" w:rsidP="00BE65FA">
      <w:pPr>
        <w:spacing w:after="0" w:line="240" w:lineRule="auto"/>
        <w:ind w:left="360"/>
        <w:textAlignment w:val="baseline"/>
      </w:pPr>
      <w:r>
        <w:t xml:space="preserve">Carmel, J. &amp; </w:t>
      </w:r>
      <w:proofErr w:type="spellStart"/>
      <w:r>
        <w:t>Scardillo</w:t>
      </w:r>
      <w:proofErr w:type="spellEnd"/>
      <w:r>
        <w:t xml:space="preserve">, J. (2022). Adaptations, Rehabilitation, and Long-Term Care Management Issues. In J. Carmel, J. Colwell, &amp;             Goldberg (Eds.), </w:t>
      </w:r>
      <w:r w:rsidRPr="00974BA5">
        <w:rPr>
          <w:i/>
          <w:iCs/>
        </w:rPr>
        <w:t>Wound, Ostomy, and Continence Nursing Society core curriculum: Ostomy management</w:t>
      </w:r>
      <w:r>
        <w:t>. (2</w:t>
      </w:r>
      <w:r w:rsidRPr="0049442A">
        <w:rPr>
          <w:vertAlign w:val="superscript"/>
        </w:rPr>
        <w:t>nd</w:t>
      </w:r>
      <w:r>
        <w:t xml:space="preserve"> ed., p.p. 212-213). Wolters-Kluwer.</w:t>
      </w:r>
    </w:p>
    <w:p w14:paraId="5494F4AA" w14:textId="77777777" w:rsidR="004C3835" w:rsidRDefault="004C3835" w:rsidP="00BE65FA">
      <w:pPr>
        <w:spacing w:after="0" w:line="240" w:lineRule="auto"/>
        <w:ind w:left="360"/>
        <w:textAlignment w:val="baseline"/>
      </w:pPr>
    </w:p>
    <w:p w14:paraId="19536DE6" w14:textId="0C1544BE" w:rsidR="004C3835" w:rsidRDefault="004C3835" w:rsidP="00BE65FA">
      <w:pPr>
        <w:spacing w:after="0" w:line="240" w:lineRule="auto"/>
        <w:ind w:left="360"/>
        <w:textAlignment w:val="baseline"/>
      </w:pPr>
      <w:r>
        <w:t xml:space="preserve">Cleveland Clinic. (2023) Fostering a </w:t>
      </w:r>
      <w:r w:rsidR="00BF64B3">
        <w:t>P</w:t>
      </w:r>
      <w:r>
        <w:t xml:space="preserve">ositive </w:t>
      </w:r>
      <w:r w:rsidR="00BF64B3">
        <w:t>S</w:t>
      </w:r>
      <w:r>
        <w:t>elf</w:t>
      </w:r>
      <w:r w:rsidR="00BF64B3">
        <w:t>-</w:t>
      </w:r>
      <w:r>
        <w:t xml:space="preserve"> Ima</w:t>
      </w:r>
      <w:r w:rsidR="00BF64B3">
        <w:t>ge</w:t>
      </w:r>
      <w:r w:rsidR="000C246C">
        <w:t>.</w:t>
      </w:r>
      <w:r w:rsidR="00BF64B3" w:rsidRPr="00BF64B3">
        <w:t xml:space="preserve"> https://my.clevelandclinic.org/health/articles/12942-fostering-a-positive-self-image</w:t>
      </w:r>
    </w:p>
    <w:p w14:paraId="2DA7B703" w14:textId="77777777" w:rsidR="00BE65FA" w:rsidRDefault="00BE65FA" w:rsidP="00BE65FA">
      <w:pPr>
        <w:spacing w:after="0" w:line="240" w:lineRule="auto"/>
        <w:ind w:left="360"/>
        <w:textAlignment w:val="baseline"/>
      </w:pPr>
    </w:p>
    <w:p w14:paraId="0F992446" w14:textId="26FAD423" w:rsidR="00BE65FA" w:rsidRDefault="00BE65FA" w:rsidP="00BE65FA">
      <w:pPr>
        <w:spacing w:after="0" w:line="240" w:lineRule="auto"/>
        <w:ind w:left="360"/>
        <w:textAlignment w:val="baseline"/>
      </w:pPr>
      <w:r>
        <w:rPr>
          <w:rFonts w:ascii="Helvetica" w:eastAsia="Times New Roman" w:hAnsi="Helvetica" w:cs="Helvetica"/>
          <w:color w:val="595959"/>
          <w:sz w:val="20"/>
          <w:szCs w:val="20"/>
        </w:rPr>
        <w:t xml:space="preserve">Cleveland Clinic. (2023) </w:t>
      </w:r>
      <w:r w:rsidRPr="00E10A61">
        <w:rPr>
          <w:rFonts w:ascii="Helvetica" w:eastAsia="Times New Roman" w:hAnsi="Helvetica" w:cs="Helvetica"/>
          <w:i/>
          <w:iCs/>
          <w:color w:val="595959"/>
          <w:sz w:val="20"/>
          <w:szCs w:val="20"/>
        </w:rPr>
        <w:t>Parasympathetic Nervous System</w:t>
      </w:r>
      <w:r w:rsidR="000C246C">
        <w:rPr>
          <w:rFonts w:ascii="Helvetica" w:eastAsia="Times New Roman" w:hAnsi="Helvetica" w:cs="Helvetica"/>
          <w:i/>
          <w:iCs/>
          <w:color w:val="595959"/>
          <w:sz w:val="20"/>
          <w:szCs w:val="20"/>
        </w:rPr>
        <w:t>.</w:t>
      </w:r>
      <w:r w:rsidRPr="00E10A61">
        <w:rPr>
          <w:rFonts w:ascii="Helvetica" w:eastAsia="Times New Roman" w:hAnsi="Helvetica" w:cs="Helvetica"/>
          <w:i/>
          <w:iCs/>
          <w:color w:val="595959"/>
          <w:sz w:val="20"/>
          <w:szCs w:val="20"/>
        </w:rPr>
        <w:t xml:space="preserve"> (PSNS) </w:t>
      </w:r>
      <w:hyperlink r:id="rId8" w:history="1">
        <w:r w:rsidRPr="008E060D">
          <w:rPr>
            <w:rStyle w:val="Hyperlink"/>
          </w:rPr>
          <w:t>https://my.clevelandclinic.org/health/body/23266-parasympathetic-nervous-system-psns</w:t>
        </w:r>
      </w:hyperlink>
    </w:p>
    <w:p w14:paraId="01115CE3" w14:textId="77777777" w:rsidR="00BE65FA" w:rsidRDefault="00BE65FA" w:rsidP="00BE65FA">
      <w:pPr>
        <w:spacing w:after="0" w:line="240" w:lineRule="auto"/>
        <w:ind w:left="360"/>
        <w:textAlignment w:val="baseline"/>
        <w:rPr>
          <w:rFonts w:ascii="Helvetica" w:eastAsia="Times New Roman" w:hAnsi="Helvetica" w:cs="Helvetica"/>
          <w:color w:val="595959"/>
          <w:sz w:val="20"/>
          <w:szCs w:val="20"/>
        </w:rPr>
      </w:pPr>
    </w:p>
    <w:p w14:paraId="16413251" w14:textId="7FA91582" w:rsidR="00BE65FA" w:rsidRDefault="00BE65FA" w:rsidP="00BE65FA">
      <w:pPr>
        <w:spacing w:after="0" w:line="240" w:lineRule="auto"/>
        <w:ind w:left="360"/>
        <w:textAlignment w:val="baseline"/>
        <w:rPr>
          <w:rFonts w:ascii="Helvetica" w:eastAsia="Times New Roman" w:hAnsi="Helvetica" w:cs="Helvetica"/>
          <w:color w:val="595959"/>
          <w:sz w:val="20"/>
          <w:szCs w:val="20"/>
        </w:rPr>
      </w:pPr>
      <w:r>
        <w:rPr>
          <w:rFonts w:ascii="Helvetica" w:eastAsia="Times New Roman" w:hAnsi="Helvetica" w:cs="Helvetica"/>
          <w:color w:val="595959"/>
          <w:sz w:val="20"/>
          <w:szCs w:val="20"/>
        </w:rPr>
        <w:t xml:space="preserve">Cleveland Clinic. (2023) </w:t>
      </w:r>
      <w:r w:rsidRPr="008466E7">
        <w:rPr>
          <w:rFonts w:ascii="Helvetica" w:eastAsia="Times New Roman" w:hAnsi="Helvetica" w:cs="Helvetica"/>
          <w:i/>
          <w:iCs/>
          <w:color w:val="595959"/>
          <w:sz w:val="20"/>
          <w:szCs w:val="20"/>
        </w:rPr>
        <w:t>Sympathetic Nervous System (SNS)</w:t>
      </w:r>
      <w:r w:rsidR="000C246C">
        <w:rPr>
          <w:rFonts w:ascii="Helvetica" w:eastAsia="Times New Roman" w:hAnsi="Helvetica" w:cs="Helvetica"/>
          <w:i/>
          <w:iCs/>
          <w:color w:val="595959"/>
          <w:sz w:val="20"/>
          <w:szCs w:val="20"/>
        </w:rPr>
        <w:t>.</w:t>
      </w:r>
      <w:r>
        <w:rPr>
          <w:rFonts w:ascii="Helvetica" w:eastAsia="Times New Roman" w:hAnsi="Helvetica" w:cs="Helvetica"/>
          <w:color w:val="595959"/>
          <w:sz w:val="20"/>
          <w:szCs w:val="20"/>
        </w:rPr>
        <w:t xml:space="preserve"> </w:t>
      </w:r>
      <w:hyperlink r:id="rId9" w:history="1">
        <w:r w:rsidRPr="008E060D">
          <w:rPr>
            <w:rStyle w:val="Hyperlink"/>
            <w:rFonts w:ascii="Helvetica" w:eastAsia="Times New Roman" w:hAnsi="Helvetica" w:cs="Helvetica"/>
            <w:sz w:val="20"/>
            <w:szCs w:val="20"/>
          </w:rPr>
          <w:t>https://my.clevelandclinic.org/health/body/23262-sympathetic-nervous-system-</w:t>
        </w:r>
      </w:hyperlink>
    </w:p>
    <w:p w14:paraId="12252092" w14:textId="2362897C" w:rsidR="00BE65FA" w:rsidRDefault="00BE65FA" w:rsidP="00BE65FA">
      <w:pPr>
        <w:spacing w:after="0" w:line="240" w:lineRule="auto"/>
        <w:ind w:left="360"/>
        <w:textAlignment w:val="baseline"/>
        <w:rPr>
          <w:rFonts w:ascii="Helvetica" w:eastAsia="Times New Roman" w:hAnsi="Helvetica" w:cs="Helvetica"/>
          <w:color w:val="595959"/>
          <w:sz w:val="20"/>
          <w:szCs w:val="20"/>
        </w:rPr>
      </w:pPr>
      <w:proofErr w:type="spellStart"/>
      <w:r>
        <w:rPr>
          <w:rFonts w:ascii="Helvetica" w:eastAsia="Times New Roman" w:hAnsi="Helvetica" w:cs="Helvetica"/>
          <w:color w:val="595959"/>
          <w:sz w:val="20"/>
          <w:szCs w:val="20"/>
        </w:rPr>
        <w:t>sns</w:t>
      </w:r>
      <w:proofErr w:type="spellEnd"/>
      <w:r>
        <w:rPr>
          <w:rFonts w:ascii="Helvetica" w:eastAsia="Times New Roman" w:hAnsi="Helvetica" w:cs="Helvetica"/>
          <w:color w:val="595959"/>
          <w:sz w:val="20"/>
          <w:szCs w:val="20"/>
        </w:rPr>
        <w:t>-fight-or-flight</w:t>
      </w:r>
    </w:p>
    <w:p w14:paraId="5F30C50A" w14:textId="77777777" w:rsidR="00BE65FA" w:rsidRDefault="00BE65FA" w:rsidP="00BE65FA">
      <w:pPr>
        <w:spacing w:after="0" w:line="240" w:lineRule="auto"/>
        <w:ind w:left="360"/>
        <w:textAlignment w:val="baseline"/>
        <w:rPr>
          <w:rFonts w:ascii="Helvetica" w:eastAsia="Times New Roman" w:hAnsi="Helvetica" w:cs="Helvetica"/>
          <w:color w:val="595959"/>
          <w:sz w:val="20"/>
          <w:szCs w:val="20"/>
        </w:rPr>
      </w:pPr>
    </w:p>
    <w:p w14:paraId="14C2F8B5" w14:textId="782B61D3" w:rsidR="00AE1E25" w:rsidRDefault="00AE1E25" w:rsidP="00BE65FA">
      <w:pPr>
        <w:spacing w:after="0" w:line="240" w:lineRule="auto"/>
        <w:ind w:left="360"/>
        <w:textAlignment w:val="baseline"/>
        <w:rPr>
          <w:rFonts w:ascii="Helvetica" w:eastAsia="Times New Roman" w:hAnsi="Helvetica" w:cs="Helvetica"/>
          <w:color w:val="595959"/>
          <w:sz w:val="20"/>
          <w:szCs w:val="20"/>
        </w:rPr>
      </w:pPr>
      <w:r>
        <w:rPr>
          <w:rFonts w:ascii="Helvetica" w:hAnsi="Helvetica" w:cs="Helvetica"/>
          <w:color w:val="595959"/>
          <w:sz w:val="20"/>
          <w:szCs w:val="20"/>
          <w:shd w:val="clear" w:color="auto" w:fill="F5F5F5"/>
        </w:rPr>
        <w:t xml:space="preserve">Ghafoori, F., Bagheri, M., Dehghan-Nayeri, N., </w:t>
      </w:r>
      <w:proofErr w:type="spellStart"/>
      <w:r>
        <w:rPr>
          <w:rFonts w:ascii="Helvetica" w:hAnsi="Helvetica" w:cs="Helvetica"/>
          <w:color w:val="595959"/>
          <w:sz w:val="20"/>
          <w:szCs w:val="20"/>
          <w:shd w:val="clear" w:color="auto" w:fill="F5F5F5"/>
        </w:rPr>
        <w:t>Khakbazan</w:t>
      </w:r>
      <w:proofErr w:type="spellEnd"/>
      <w:r>
        <w:rPr>
          <w:rFonts w:ascii="Helvetica" w:hAnsi="Helvetica" w:cs="Helvetica"/>
          <w:color w:val="595959"/>
          <w:sz w:val="20"/>
          <w:szCs w:val="20"/>
          <w:shd w:val="clear" w:color="auto" w:fill="F5F5F5"/>
        </w:rPr>
        <w:t xml:space="preserve">, Z., Haghani, H., </w:t>
      </w:r>
      <w:proofErr w:type="spellStart"/>
      <w:r>
        <w:rPr>
          <w:rFonts w:ascii="Helvetica" w:hAnsi="Helvetica" w:cs="Helvetica"/>
          <w:color w:val="595959"/>
          <w:sz w:val="20"/>
          <w:szCs w:val="20"/>
          <w:shd w:val="clear" w:color="auto" w:fill="F5F5F5"/>
        </w:rPr>
        <w:t>Hedayatnejad</w:t>
      </w:r>
      <w:proofErr w:type="spellEnd"/>
      <w:r>
        <w:rPr>
          <w:rFonts w:ascii="Helvetica" w:hAnsi="Helvetica" w:cs="Helvetica"/>
          <w:color w:val="595959"/>
          <w:sz w:val="20"/>
          <w:szCs w:val="20"/>
          <w:shd w:val="clear" w:color="auto" w:fill="F5F5F5"/>
        </w:rPr>
        <w:t xml:space="preserve">, M., &amp; </w:t>
      </w:r>
      <w:proofErr w:type="spellStart"/>
      <w:r>
        <w:rPr>
          <w:rFonts w:ascii="Helvetica" w:hAnsi="Helvetica" w:cs="Helvetica"/>
          <w:color w:val="595959"/>
          <w:sz w:val="20"/>
          <w:szCs w:val="20"/>
          <w:shd w:val="clear" w:color="auto" w:fill="F5F5F5"/>
        </w:rPr>
        <w:t>Samadaee-Gelehkolaee</w:t>
      </w:r>
      <w:proofErr w:type="spellEnd"/>
      <w:r>
        <w:rPr>
          <w:rFonts w:ascii="Helvetica" w:hAnsi="Helvetica" w:cs="Helvetica"/>
          <w:color w:val="595959"/>
          <w:sz w:val="20"/>
          <w:szCs w:val="20"/>
          <w:shd w:val="clear" w:color="auto" w:fill="F5F5F5"/>
        </w:rPr>
        <w:t>, K. (2022). Effectiveness of Sexual Counseling Using BETTER Model to Promote Sexual Function and Satisfaction of Married Women with Multiple Sclerosis. </w:t>
      </w:r>
      <w:r>
        <w:rPr>
          <w:rFonts w:ascii="Helvetica" w:hAnsi="Helvetica" w:cs="Helvetica"/>
          <w:i/>
          <w:iCs/>
          <w:color w:val="595959"/>
          <w:sz w:val="20"/>
          <w:szCs w:val="20"/>
          <w:bdr w:val="none" w:sz="0" w:space="0" w:color="auto" w:frame="1"/>
          <w:shd w:val="clear" w:color="auto" w:fill="F5F5F5"/>
        </w:rPr>
        <w:t>Sexuality &amp; Disability</w:t>
      </w:r>
      <w:r>
        <w:rPr>
          <w:rFonts w:ascii="Helvetica" w:hAnsi="Helvetica" w:cs="Helvetica"/>
          <w:color w:val="595959"/>
          <w:sz w:val="20"/>
          <w:szCs w:val="20"/>
          <w:shd w:val="clear" w:color="auto" w:fill="F5F5F5"/>
        </w:rPr>
        <w:t>, </w:t>
      </w:r>
      <w:r>
        <w:rPr>
          <w:rFonts w:ascii="Helvetica" w:hAnsi="Helvetica" w:cs="Helvetica"/>
          <w:i/>
          <w:iCs/>
          <w:color w:val="595959"/>
          <w:sz w:val="20"/>
          <w:szCs w:val="20"/>
          <w:bdr w:val="none" w:sz="0" w:space="0" w:color="auto" w:frame="1"/>
          <w:shd w:val="clear" w:color="auto" w:fill="F5F5F5"/>
        </w:rPr>
        <w:t>40</w:t>
      </w:r>
      <w:r>
        <w:rPr>
          <w:rFonts w:ascii="Helvetica" w:hAnsi="Helvetica" w:cs="Helvetica"/>
          <w:color w:val="595959"/>
          <w:sz w:val="20"/>
          <w:szCs w:val="20"/>
          <w:shd w:val="clear" w:color="auto" w:fill="F5F5F5"/>
        </w:rPr>
        <w:t>(3), 471–486. https://doi.org/10.1007/s11195-022-09746-y</w:t>
      </w:r>
    </w:p>
    <w:p w14:paraId="4D40B35B" w14:textId="77777777" w:rsidR="00BE65FA" w:rsidRDefault="00BE65FA" w:rsidP="00BE65FA">
      <w:pPr>
        <w:spacing w:after="0" w:line="240" w:lineRule="auto"/>
        <w:ind w:left="360"/>
        <w:textAlignment w:val="baseline"/>
        <w:rPr>
          <w:rFonts w:ascii="Helvetica" w:eastAsia="Times New Roman" w:hAnsi="Helvetica" w:cs="Helvetica"/>
          <w:color w:val="595959"/>
          <w:sz w:val="20"/>
          <w:szCs w:val="20"/>
        </w:rPr>
      </w:pPr>
    </w:p>
    <w:p w14:paraId="1DD2E3D2" w14:textId="77777777" w:rsidR="00BE65FA" w:rsidRDefault="00BE65FA" w:rsidP="00BE65FA">
      <w:pPr>
        <w:spacing w:after="0" w:line="240" w:lineRule="auto"/>
        <w:ind w:left="360"/>
        <w:textAlignment w:val="baseline"/>
        <w:rPr>
          <w:rFonts w:ascii="Helvetica" w:eastAsia="Times New Roman" w:hAnsi="Helvetica" w:cs="Helvetica"/>
          <w:color w:val="595959"/>
          <w:sz w:val="20"/>
          <w:szCs w:val="20"/>
        </w:rPr>
      </w:pPr>
      <w:r w:rsidRPr="00364683">
        <w:rPr>
          <w:rFonts w:ascii="Helvetica" w:eastAsia="Times New Roman" w:hAnsi="Helvetica" w:cs="Helvetica"/>
          <w:color w:val="595959"/>
          <w:sz w:val="20"/>
          <w:szCs w:val="20"/>
        </w:rPr>
        <w:t>Ye, F., Su, H., Xiong, H., Luo, W., Huang, Z., Chen, G., &amp; Zhou, H. (2023). Applied anatomy of female pelvic plexus for nerve-sparing radical hysterectomy(NSRH). </w:t>
      </w:r>
      <w:r w:rsidRPr="00364683">
        <w:rPr>
          <w:rFonts w:ascii="Helvetica" w:eastAsia="Times New Roman" w:hAnsi="Helvetica" w:cs="Helvetica"/>
          <w:i/>
          <w:iCs/>
          <w:color w:val="595959"/>
          <w:sz w:val="20"/>
          <w:szCs w:val="20"/>
          <w:bdr w:val="none" w:sz="0" w:space="0" w:color="auto" w:frame="1"/>
        </w:rPr>
        <w:t>BMC Women’s Health</w:t>
      </w:r>
      <w:r w:rsidRPr="00364683">
        <w:rPr>
          <w:rFonts w:ascii="Helvetica" w:eastAsia="Times New Roman" w:hAnsi="Helvetica" w:cs="Helvetica"/>
          <w:color w:val="595959"/>
          <w:sz w:val="20"/>
          <w:szCs w:val="20"/>
        </w:rPr>
        <w:t>, </w:t>
      </w:r>
      <w:r w:rsidRPr="00364683">
        <w:rPr>
          <w:rFonts w:ascii="Helvetica" w:eastAsia="Times New Roman" w:hAnsi="Helvetica" w:cs="Helvetica"/>
          <w:i/>
          <w:iCs/>
          <w:color w:val="595959"/>
          <w:sz w:val="20"/>
          <w:szCs w:val="20"/>
          <w:bdr w:val="none" w:sz="0" w:space="0" w:color="auto" w:frame="1"/>
        </w:rPr>
        <w:t>23</w:t>
      </w:r>
      <w:r w:rsidRPr="00364683">
        <w:rPr>
          <w:rFonts w:ascii="Helvetica" w:eastAsia="Times New Roman" w:hAnsi="Helvetica" w:cs="Helvetica"/>
          <w:color w:val="595959"/>
          <w:sz w:val="20"/>
          <w:szCs w:val="20"/>
        </w:rPr>
        <w:t xml:space="preserve">(1), 1–8. </w:t>
      </w:r>
      <w:hyperlink r:id="rId10" w:history="1">
        <w:r w:rsidRPr="008E060D">
          <w:rPr>
            <w:rStyle w:val="Hyperlink"/>
            <w:rFonts w:ascii="Helvetica" w:eastAsia="Times New Roman" w:hAnsi="Helvetica" w:cs="Helvetica"/>
            <w:sz w:val="20"/>
            <w:szCs w:val="20"/>
          </w:rPr>
          <w:t>https://doi.org/10.1186/s12905-023-02651-2</w:t>
        </w:r>
      </w:hyperlink>
    </w:p>
    <w:p w14:paraId="4EA57BD9" w14:textId="77777777" w:rsidR="00BE65FA" w:rsidRDefault="00BE65FA" w:rsidP="00BE65FA">
      <w:pPr>
        <w:spacing w:after="0" w:line="240" w:lineRule="auto"/>
        <w:ind w:left="360"/>
        <w:textAlignment w:val="baseline"/>
        <w:rPr>
          <w:rFonts w:ascii="Helvetica" w:eastAsia="Times New Roman" w:hAnsi="Helvetica" w:cs="Helvetica"/>
          <w:color w:val="595959"/>
          <w:sz w:val="20"/>
          <w:szCs w:val="20"/>
        </w:rPr>
      </w:pPr>
    </w:p>
    <w:p w14:paraId="68DEFF4F" w14:textId="77777777" w:rsidR="00BE65FA" w:rsidRDefault="00BE65FA" w:rsidP="00BE65FA">
      <w:pPr>
        <w:spacing w:after="0" w:line="240" w:lineRule="auto"/>
        <w:ind w:left="360"/>
        <w:textAlignment w:val="baseline"/>
        <w:rPr>
          <w:rFonts w:ascii="Helvetica" w:eastAsia="Times New Roman" w:hAnsi="Helvetica" w:cs="Helvetica"/>
          <w:color w:val="595959"/>
          <w:sz w:val="20"/>
          <w:szCs w:val="20"/>
        </w:rPr>
      </w:pPr>
    </w:p>
    <w:p w14:paraId="355F4C0B" w14:textId="77777777" w:rsidR="00BE65FA" w:rsidRDefault="00BE65FA" w:rsidP="00BE65FA">
      <w:pPr>
        <w:spacing w:after="0" w:line="240" w:lineRule="auto"/>
        <w:ind w:left="360"/>
        <w:textAlignment w:val="baseline"/>
        <w:rPr>
          <w:rFonts w:ascii="Helvetica" w:eastAsia="Times New Roman" w:hAnsi="Helvetica" w:cs="Helvetica"/>
          <w:color w:val="595959"/>
          <w:sz w:val="20"/>
          <w:szCs w:val="20"/>
        </w:rPr>
      </w:pPr>
    </w:p>
    <w:p w14:paraId="1386D43E" w14:textId="23F52085" w:rsidR="00BE65FA" w:rsidRDefault="00BE65FA" w:rsidP="00BE65FA"/>
    <w:p w14:paraId="5171E2A1" w14:textId="77777777" w:rsidR="00BE65FA" w:rsidRDefault="00BE65FA" w:rsidP="00BE65FA"/>
    <w:p w14:paraId="3689061F" w14:textId="77777777" w:rsidR="00BE65FA" w:rsidRDefault="00BE65FA" w:rsidP="00BE65FA"/>
    <w:p w14:paraId="32ECF8B7" w14:textId="77777777" w:rsidR="008E7CA4" w:rsidRDefault="008E7CA4" w:rsidP="00364683">
      <w:pPr>
        <w:spacing w:after="0" w:line="240" w:lineRule="auto"/>
        <w:ind w:left="360"/>
        <w:jc w:val="center"/>
        <w:textAlignment w:val="baseline"/>
        <w:rPr>
          <w:rFonts w:ascii="Helvetica" w:eastAsia="Times New Roman" w:hAnsi="Helvetica" w:cs="Helvetica"/>
          <w:color w:val="595959"/>
          <w:sz w:val="20"/>
          <w:szCs w:val="20"/>
        </w:rPr>
      </w:pPr>
    </w:p>
    <w:p w14:paraId="3CCE46B1" w14:textId="77777777" w:rsidR="00BE65FA" w:rsidRDefault="00BE65FA" w:rsidP="00BE65FA">
      <w:pPr>
        <w:spacing w:after="0" w:line="240" w:lineRule="auto"/>
        <w:ind w:left="360"/>
        <w:textAlignment w:val="baseline"/>
        <w:rPr>
          <w:rFonts w:ascii="Helvetica" w:eastAsia="Times New Roman" w:hAnsi="Helvetica" w:cs="Helvetica"/>
          <w:color w:val="595959"/>
          <w:sz w:val="20"/>
          <w:szCs w:val="20"/>
        </w:rPr>
      </w:pPr>
    </w:p>
    <w:p w14:paraId="2EC0CD14" w14:textId="77777777" w:rsidR="00364683" w:rsidRDefault="00364683" w:rsidP="00364683">
      <w:pPr>
        <w:spacing w:after="0" w:line="240" w:lineRule="auto"/>
        <w:ind w:left="360"/>
        <w:textAlignment w:val="baseline"/>
        <w:rPr>
          <w:rFonts w:ascii="Helvetica" w:eastAsia="Times New Roman" w:hAnsi="Helvetica" w:cs="Helvetica"/>
          <w:color w:val="595959"/>
          <w:sz w:val="20"/>
          <w:szCs w:val="20"/>
        </w:rPr>
      </w:pPr>
    </w:p>
    <w:p w14:paraId="33D14156" w14:textId="77777777" w:rsidR="008466E7" w:rsidRDefault="008466E7" w:rsidP="00974BA5">
      <w:pPr>
        <w:spacing w:after="0" w:line="240" w:lineRule="auto"/>
        <w:ind w:left="360"/>
        <w:textAlignment w:val="baseline"/>
        <w:rPr>
          <w:rFonts w:ascii="Helvetica" w:eastAsia="Times New Roman" w:hAnsi="Helvetica" w:cs="Helvetica"/>
          <w:color w:val="595959"/>
          <w:sz w:val="20"/>
          <w:szCs w:val="20"/>
        </w:rPr>
      </w:pPr>
      <w:bookmarkStart w:id="1" w:name="_Hlk149410117"/>
    </w:p>
    <w:bookmarkEnd w:id="1"/>
    <w:p w14:paraId="7C303131" w14:textId="77777777" w:rsidR="00974BA5" w:rsidRDefault="00974BA5" w:rsidP="00974BA5">
      <w:pPr>
        <w:spacing w:after="0" w:line="240" w:lineRule="auto"/>
        <w:ind w:left="360"/>
        <w:textAlignment w:val="baseline"/>
        <w:rPr>
          <w:rFonts w:ascii="Helvetica" w:eastAsia="Times New Roman" w:hAnsi="Helvetica" w:cs="Helvetica"/>
          <w:color w:val="595959"/>
          <w:sz w:val="20"/>
          <w:szCs w:val="20"/>
        </w:rPr>
      </w:pPr>
    </w:p>
    <w:p w14:paraId="5357E9D0" w14:textId="77777777" w:rsidR="008466E7" w:rsidRPr="00E10A61" w:rsidRDefault="008466E7" w:rsidP="00974BA5">
      <w:pPr>
        <w:spacing w:after="0" w:line="240" w:lineRule="auto"/>
        <w:ind w:left="360"/>
        <w:textAlignment w:val="baseline"/>
        <w:rPr>
          <w:rFonts w:ascii="Helvetica" w:eastAsia="Times New Roman" w:hAnsi="Helvetica" w:cs="Helvetica"/>
          <w:color w:val="595959"/>
          <w:sz w:val="20"/>
          <w:szCs w:val="20"/>
        </w:rPr>
      </w:pPr>
    </w:p>
    <w:p w14:paraId="0AB64CDE" w14:textId="3E7AB69F" w:rsidR="00974BA5" w:rsidRDefault="00974BA5" w:rsidP="00974BA5">
      <w:r>
        <w:t xml:space="preserve">      </w:t>
      </w:r>
      <w:bookmarkStart w:id="2" w:name="_Hlk149410069"/>
    </w:p>
    <w:bookmarkEnd w:id="2"/>
    <w:p w14:paraId="49D84120" w14:textId="0EAFAA4E" w:rsidR="008E7CA4" w:rsidRDefault="008E7CA4" w:rsidP="00364683">
      <w:pPr>
        <w:jc w:val="both"/>
      </w:pPr>
    </w:p>
    <w:p w14:paraId="0321C5DF" w14:textId="77777777" w:rsidR="008E7CA4" w:rsidRDefault="008E7CA4" w:rsidP="00364683">
      <w:pPr>
        <w:jc w:val="both"/>
      </w:pPr>
    </w:p>
    <w:p w14:paraId="5C6927DE" w14:textId="77777777" w:rsidR="00030F13" w:rsidRDefault="00030F13" w:rsidP="00364683">
      <w:pPr>
        <w:jc w:val="both"/>
      </w:pPr>
    </w:p>
    <w:p w14:paraId="1FC58E85" w14:textId="77777777" w:rsidR="00030F13" w:rsidRDefault="00030F13" w:rsidP="00364683">
      <w:pPr>
        <w:jc w:val="both"/>
      </w:pPr>
    </w:p>
    <w:p w14:paraId="0E707ACE" w14:textId="77777777" w:rsidR="00030F13" w:rsidRDefault="00030F13" w:rsidP="00364683">
      <w:pPr>
        <w:jc w:val="both"/>
      </w:pPr>
    </w:p>
    <w:p w14:paraId="5A3988DE" w14:textId="77777777" w:rsidR="00030F13" w:rsidRDefault="00030F13" w:rsidP="00364683">
      <w:pPr>
        <w:jc w:val="both"/>
      </w:pPr>
    </w:p>
    <w:p w14:paraId="1ECDD9B8" w14:textId="77777777" w:rsidR="00030F13" w:rsidRDefault="00030F13" w:rsidP="00364683">
      <w:pPr>
        <w:jc w:val="both"/>
      </w:pPr>
    </w:p>
    <w:p w14:paraId="0485585C" w14:textId="77777777" w:rsidR="00030F13" w:rsidRDefault="00030F13" w:rsidP="00364683">
      <w:pPr>
        <w:jc w:val="both"/>
      </w:pPr>
    </w:p>
    <w:p w14:paraId="0895B098" w14:textId="77777777" w:rsidR="00030F13" w:rsidRDefault="00030F13" w:rsidP="00364683">
      <w:pPr>
        <w:jc w:val="both"/>
      </w:pPr>
    </w:p>
    <w:p w14:paraId="4A5C0ED2" w14:textId="77777777" w:rsidR="00030F13" w:rsidRDefault="00030F13" w:rsidP="00364683">
      <w:pPr>
        <w:jc w:val="both"/>
      </w:pPr>
    </w:p>
    <w:p w14:paraId="59170A1B" w14:textId="77777777" w:rsidR="00030F13" w:rsidRDefault="00030F13" w:rsidP="00364683">
      <w:pPr>
        <w:jc w:val="both"/>
      </w:pPr>
    </w:p>
    <w:p w14:paraId="61C4CEAD" w14:textId="77777777" w:rsidR="00030F13" w:rsidRDefault="00030F13" w:rsidP="00364683">
      <w:pPr>
        <w:jc w:val="both"/>
      </w:pPr>
    </w:p>
    <w:p w14:paraId="7E4ABA6E" w14:textId="77777777" w:rsidR="00030F13" w:rsidRDefault="00030F13" w:rsidP="00364683">
      <w:pPr>
        <w:jc w:val="both"/>
      </w:pPr>
    </w:p>
    <w:p w14:paraId="6DDC0243" w14:textId="77777777" w:rsidR="00030F13" w:rsidRDefault="00030F13" w:rsidP="00364683">
      <w:pPr>
        <w:jc w:val="both"/>
      </w:pPr>
    </w:p>
    <w:p w14:paraId="0A50C463" w14:textId="77777777" w:rsidR="00030F13" w:rsidRDefault="00030F13" w:rsidP="00364683">
      <w:pPr>
        <w:jc w:val="both"/>
      </w:pPr>
    </w:p>
    <w:p w14:paraId="034CEA4D" w14:textId="77777777" w:rsidR="00030F13" w:rsidRDefault="00030F13" w:rsidP="00364683">
      <w:pPr>
        <w:jc w:val="both"/>
      </w:pPr>
    </w:p>
    <w:p w14:paraId="01765816" w14:textId="77777777" w:rsidR="00030F13" w:rsidRDefault="00030F13" w:rsidP="00364683">
      <w:pPr>
        <w:jc w:val="both"/>
      </w:pPr>
    </w:p>
    <w:p w14:paraId="7C3E4D2E" w14:textId="77777777" w:rsidR="00030F13" w:rsidRDefault="00030F13" w:rsidP="00364683">
      <w:pPr>
        <w:jc w:val="both"/>
      </w:pPr>
    </w:p>
    <w:p w14:paraId="6066257F" w14:textId="77777777" w:rsidR="00030F13" w:rsidRDefault="00030F13" w:rsidP="00364683">
      <w:pPr>
        <w:jc w:val="both"/>
      </w:pPr>
    </w:p>
    <w:p w14:paraId="6AE6D67C" w14:textId="77777777" w:rsidR="00030F13" w:rsidRDefault="00030F13" w:rsidP="00364683">
      <w:pPr>
        <w:jc w:val="both"/>
      </w:pPr>
    </w:p>
    <w:p w14:paraId="25FE88A5" w14:textId="77777777" w:rsidR="00030F13" w:rsidRDefault="00030F13" w:rsidP="00364683">
      <w:pPr>
        <w:jc w:val="both"/>
      </w:pPr>
    </w:p>
    <w:p w14:paraId="3E690CEE" w14:textId="77777777" w:rsidR="00030F13" w:rsidRDefault="00030F13" w:rsidP="00364683">
      <w:pPr>
        <w:jc w:val="both"/>
      </w:pPr>
    </w:p>
    <w:p w14:paraId="30C9659B" w14:textId="77777777" w:rsidR="00030F13" w:rsidRDefault="00030F13" w:rsidP="00364683">
      <w:pPr>
        <w:jc w:val="both"/>
      </w:pPr>
    </w:p>
    <w:p w14:paraId="2695A57E" w14:textId="77777777" w:rsidR="00030F13" w:rsidRDefault="00030F13" w:rsidP="00364683">
      <w:pPr>
        <w:jc w:val="both"/>
      </w:pPr>
    </w:p>
    <w:p w14:paraId="0B05087F" w14:textId="77777777" w:rsidR="00030F13" w:rsidRDefault="00030F13" w:rsidP="00364683">
      <w:pPr>
        <w:jc w:val="both"/>
      </w:pPr>
    </w:p>
    <w:p w14:paraId="03B853A6" w14:textId="77777777" w:rsidR="00030F13" w:rsidRDefault="00030F13" w:rsidP="00364683">
      <w:pPr>
        <w:jc w:val="both"/>
      </w:pPr>
    </w:p>
    <w:p w14:paraId="77C911AA" w14:textId="77777777" w:rsidR="00030F13" w:rsidRDefault="00030F13" w:rsidP="00364683">
      <w:pPr>
        <w:jc w:val="both"/>
      </w:pPr>
    </w:p>
    <w:p w14:paraId="59E6700C" w14:textId="77777777" w:rsidR="00030F13" w:rsidRDefault="00030F13" w:rsidP="00364683">
      <w:pPr>
        <w:jc w:val="both"/>
      </w:pPr>
    </w:p>
    <w:p w14:paraId="67268077" w14:textId="77777777" w:rsidR="00030F13" w:rsidRDefault="00030F13" w:rsidP="00364683">
      <w:pPr>
        <w:jc w:val="both"/>
      </w:pPr>
    </w:p>
    <w:p w14:paraId="72CBD371" w14:textId="77777777" w:rsidR="00030F13" w:rsidRDefault="00030F13" w:rsidP="00364683">
      <w:pPr>
        <w:jc w:val="both"/>
      </w:pPr>
    </w:p>
    <w:p w14:paraId="6E856146" w14:textId="77777777" w:rsidR="00030F13" w:rsidRDefault="00030F13" w:rsidP="00364683">
      <w:pPr>
        <w:jc w:val="both"/>
      </w:pPr>
    </w:p>
    <w:p w14:paraId="0BEB1D8A" w14:textId="77777777" w:rsidR="00030F13" w:rsidRDefault="00030F13" w:rsidP="00364683">
      <w:pPr>
        <w:jc w:val="both"/>
      </w:pPr>
    </w:p>
    <w:p w14:paraId="7C6862F4" w14:textId="77777777" w:rsidR="00030F13" w:rsidRDefault="00030F13" w:rsidP="00364683">
      <w:pPr>
        <w:jc w:val="both"/>
      </w:pPr>
    </w:p>
    <w:p w14:paraId="349849BC" w14:textId="77777777" w:rsidR="00030F13" w:rsidRDefault="00030F13" w:rsidP="00364683">
      <w:pPr>
        <w:jc w:val="both"/>
      </w:pPr>
    </w:p>
    <w:p w14:paraId="405C2F00" w14:textId="77777777" w:rsidR="00030F13" w:rsidRDefault="00030F13" w:rsidP="00364683">
      <w:pPr>
        <w:jc w:val="both"/>
      </w:pPr>
    </w:p>
    <w:p w14:paraId="7D363BE3" w14:textId="77777777" w:rsidR="00030F13" w:rsidRDefault="00030F13" w:rsidP="00364683">
      <w:pPr>
        <w:jc w:val="both"/>
      </w:pPr>
    </w:p>
    <w:p w14:paraId="56044146" w14:textId="77777777" w:rsidR="00030F13" w:rsidRDefault="00030F13" w:rsidP="00364683">
      <w:pPr>
        <w:jc w:val="both"/>
      </w:pPr>
    </w:p>
    <w:p w14:paraId="19CC3ED5" w14:textId="77777777" w:rsidR="00030F13" w:rsidRDefault="00030F13" w:rsidP="00364683">
      <w:pPr>
        <w:jc w:val="both"/>
      </w:pPr>
    </w:p>
    <w:p w14:paraId="662500CC" w14:textId="77777777" w:rsidR="00030F13" w:rsidRDefault="00030F13" w:rsidP="00364683">
      <w:pPr>
        <w:jc w:val="both"/>
      </w:pPr>
    </w:p>
    <w:p w14:paraId="7549DCDF" w14:textId="77777777" w:rsidR="00030F13" w:rsidRDefault="00030F13" w:rsidP="00364683">
      <w:pPr>
        <w:jc w:val="both"/>
      </w:pPr>
    </w:p>
    <w:p w14:paraId="1DF090C0" w14:textId="77777777" w:rsidR="00030F13" w:rsidRDefault="00030F13" w:rsidP="00364683">
      <w:pPr>
        <w:jc w:val="both"/>
      </w:pPr>
    </w:p>
    <w:p w14:paraId="31A035F4" w14:textId="77777777" w:rsidR="00030F13" w:rsidRDefault="00030F13" w:rsidP="00364683">
      <w:pPr>
        <w:jc w:val="both"/>
      </w:pPr>
    </w:p>
    <w:p w14:paraId="189A17CD" w14:textId="77777777" w:rsidR="00030F13" w:rsidRDefault="00030F13" w:rsidP="00364683">
      <w:pPr>
        <w:jc w:val="both"/>
      </w:pPr>
    </w:p>
    <w:p w14:paraId="2A7C76AE" w14:textId="77777777" w:rsidR="00030F13" w:rsidRDefault="00030F13" w:rsidP="00364683">
      <w:pPr>
        <w:jc w:val="both"/>
      </w:pPr>
    </w:p>
    <w:p w14:paraId="081DA490" w14:textId="77777777" w:rsidR="00030F13" w:rsidRDefault="00030F13" w:rsidP="00364683">
      <w:pPr>
        <w:jc w:val="both"/>
      </w:pPr>
    </w:p>
    <w:p w14:paraId="2A408908" w14:textId="77777777" w:rsidR="00030F13" w:rsidRDefault="00030F13" w:rsidP="00364683">
      <w:pPr>
        <w:jc w:val="both"/>
      </w:pPr>
    </w:p>
    <w:p w14:paraId="0AC301C2" w14:textId="77777777" w:rsidR="00030F13" w:rsidRDefault="00030F13" w:rsidP="00364683">
      <w:pPr>
        <w:jc w:val="both"/>
      </w:pPr>
    </w:p>
    <w:p w14:paraId="545E145E" w14:textId="77777777" w:rsidR="00030F13" w:rsidRDefault="00030F13" w:rsidP="00364683">
      <w:pPr>
        <w:jc w:val="both"/>
      </w:pPr>
    </w:p>
    <w:p w14:paraId="11E944A8" w14:textId="77777777" w:rsidR="00030F13" w:rsidRDefault="00030F13" w:rsidP="00364683">
      <w:pPr>
        <w:jc w:val="both"/>
      </w:pPr>
    </w:p>
    <w:p w14:paraId="18CDE44D" w14:textId="77777777" w:rsidR="00030F13" w:rsidRDefault="00030F13" w:rsidP="00364683">
      <w:pPr>
        <w:jc w:val="both"/>
      </w:pPr>
    </w:p>
    <w:p w14:paraId="238BB3BA" w14:textId="77777777" w:rsidR="00030F13" w:rsidRDefault="00030F13" w:rsidP="00364683">
      <w:pPr>
        <w:jc w:val="both"/>
      </w:pPr>
    </w:p>
    <w:p w14:paraId="19C4B565" w14:textId="77777777" w:rsidR="00030F13" w:rsidRDefault="00030F13" w:rsidP="00364683">
      <w:pPr>
        <w:jc w:val="both"/>
      </w:pPr>
    </w:p>
    <w:p w14:paraId="1538279B" w14:textId="77777777" w:rsidR="00030F13" w:rsidRDefault="00030F13" w:rsidP="00364683">
      <w:pPr>
        <w:jc w:val="both"/>
      </w:pPr>
    </w:p>
    <w:p w14:paraId="076F38D8" w14:textId="77777777" w:rsidR="00030F13" w:rsidRPr="00364683" w:rsidRDefault="00030F13" w:rsidP="00364683">
      <w:pPr>
        <w:jc w:val="both"/>
      </w:pPr>
    </w:p>
    <w:sectPr w:rsidR="00030F13" w:rsidRPr="00364683" w:rsidSect="00B40FA0">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35151" w14:textId="77777777" w:rsidR="001461DA" w:rsidRDefault="001461DA" w:rsidP="00B40FA0">
      <w:pPr>
        <w:spacing w:after="0" w:line="240" w:lineRule="auto"/>
      </w:pPr>
      <w:r>
        <w:separator/>
      </w:r>
    </w:p>
  </w:endnote>
  <w:endnote w:type="continuationSeparator" w:id="0">
    <w:p w14:paraId="03C7E4C4" w14:textId="77777777" w:rsidR="001461DA" w:rsidRDefault="001461DA" w:rsidP="00B40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8A4C" w14:textId="77777777" w:rsidR="00B332CF" w:rsidRDefault="00B332CF">
    <w:pPr>
      <w:pStyle w:val="Footer"/>
    </w:pPr>
    <w:r>
      <w:t>R.B. Turnbull, Jr. MD School of WOC Nursing Education</w:t>
    </w:r>
  </w:p>
  <w:p w14:paraId="0C326213" w14:textId="77777777" w:rsidR="00B332CF" w:rsidRDefault="00B332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9AC1A" w14:textId="77777777" w:rsidR="001461DA" w:rsidRDefault="001461DA" w:rsidP="00B40FA0">
      <w:pPr>
        <w:spacing w:after="0" w:line="240" w:lineRule="auto"/>
      </w:pPr>
      <w:r>
        <w:separator/>
      </w:r>
    </w:p>
  </w:footnote>
  <w:footnote w:type="continuationSeparator" w:id="0">
    <w:p w14:paraId="3A79039D" w14:textId="77777777" w:rsidR="001461DA" w:rsidRDefault="001461DA" w:rsidP="00B40F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155CC" w14:textId="77777777" w:rsidR="00B40FA0" w:rsidRDefault="00B332CF">
    <w:pPr>
      <w:pStyle w:val="Header"/>
      <w:rPr>
        <w:b/>
        <w:color w:val="000000" w:themeColor="text1"/>
      </w:rPr>
    </w:pPr>
    <w:r>
      <w:rPr>
        <w:noProof/>
      </w:rPr>
      <w:drawing>
        <wp:anchor distT="0" distB="0" distL="114300" distR="114300" simplePos="0" relativeHeight="251661312" behindDoc="1" locked="0" layoutInCell="1" allowOverlap="1" wp14:anchorId="70F2E7F1" wp14:editId="31B8F280">
          <wp:simplePos x="0" y="0"/>
          <wp:positionH relativeFrom="margin">
            <wp:align>right</wp:align>
          </wp:positionH>
          <wp:positionV relativeFrom="paragraph">
            <wp:posOffset>-198120</wp:posOffset>
          </wp:positionV>
          <wp:extent cx="1096010" cy="330200"/>
          <wp:effectExtent l="0" t="0" r="8890" b="0"/>
          <wp:wrapTight wrapText="bothSides">
            <wp:wrapPolygon edited="0">
              <wp:start x="0" y="0"/>
              <wp:lineTo x="0" y="19938"/>
              <wp:lineTo x="21400" y="19938"/>
              <wp:lineTo x="2140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eve Clinic logo.JPG"/>
                  <pic:cNvPicPr/>
                </pic:nvPicPr>
                <pic:blipFill>
                  <a:blip r:embed="rId1">
                    <a:extLst>
                      <a:ext uri="{28A0092B-C50C-407E-A947-70E740481C1C}">
                        <a14:useLocalDpi xmlns:a14="http://schemas.microsoft.com/office/drawing/2010/main" val="0"/>
                      </a:ext>
                    </a:extLst>
                  </a:blip>
                  <a:stretch>
                    <a:fillRect/>
                  </a:stretch>
                </pic:blipFill>
                <pic:spPr>
                  <a:xfrm>
                    <a:off x="0" y="0"/>
                    <a:ext cx="1096010" cy="330200"/>
                  </a:xfrm>
                  <a:prstGeom prst="rect">
                    <a:avLst/>
                  </a:prstGeom>
                </pic:spPr>
              </pic:pic>
            </a:graphicData>
          </a:graphic>
          <wp14:sizeRelH relativeFrom="page">
            <wp14:pctWidth>0</wp14:pctWidth>
          </wp14:sizeRelH>
          <wp14:sizeRelV relativeFrom="page">
            <wp14:pctHeight>0</wp14:pctHeight>
          </wp14:sizeRelV>
        </wp:anchor>
      </w:drawing>
    </w:r>
    <w:sdt>
      <w:sdtPr>
        <w:id w:val="-450714576"/>
        <w:docPartObj>
          <w:docPartGallery w:val="Page Numbers (Margins)"/>
          <w:docPartUnique/>
        </w:docPartObj>
      </w:sdtPr>
      <w:sdtContent>
        <w:r w:rsidR="00436B53">
          <w:rPr>
            <w:noProof/>
          </w:rPr>
          <mc:AlternateContent>
            <mc:Choice Requires="wps">
              <w:drawing>
                <wp:anchor distT="0" distB="0" distL="114300" distR="114300" simplePos="0" relativeHeight="251659264" behindDoc="0" locked="0" layoutInCell="0" allowOverlap="1" wp14:anchorId="1F3BEC59" wp14:editId="58E6CF9F">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7F6EE" w14:textId="77777777" w:rsidR="00436B53" w:rsidRDefault="00436B53">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7E32D1" w:rsidRPr="007E32D1">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F3BEC59" id="Rectangle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29B7F6EE" w14:textId="77777777" w:rsidR="00436B53" w:rsidRDefault="00436B53">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7E32D1" w:rsidRPr="007E32D1">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C77E4D">
      <w:rPr>
        <w:b/>
        <w:color w:val="000000" w:themeColor="text1"/>
      </w:rPr>
      <w:t>Body Image and Sexual Function for the Patient with an Ostomy</w:t>
    </w:r>
  </w:p>
  <w:p w14:paraId="2C649AF5" w14:textId="77777777" w:rsidR="00BE65FA" w:rsidRDefault="00BE65FA">
    <w:pPr>
      <w:pStyle w:val="Header"/>
      <w:rPr>
        <w:b/>
        <w:color w:val="000000" w:themeColor="text1"/>
      </w:rPr>
    </w:pPr>
  </w:p>
  <w:p w14:paraId="5D9C7162" w14:textId="77777777" w:rsidR="00BE65FA" w:rsidRDefault="00BE65FA">
    <w:pPr>
      <w:pStyle w:val="Header"/>
      <w:rPr>
        <w:b/>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F582B"/>
    <w:multiLevelType w:val="hybridMultilevel"/>
    <w:tmpl w:val="796EE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C707C"/>
    <w:multiLevelType w:val="hybridMultilevel"/>
    <w:tmpl w:val="36826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3125E"/>
    <w:multiLevelType w:val="hybridMultilevel"/>
    <w:tmpl w:val="89BC9880"/>
    <w:lvl w:ilvl="0" w:tplc="85DE38A6">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3D4E38"/>
    <w:multiLevelType w:val="hybridMultilevel"/>
    <w:tmpl w:val="3FD64A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56B0940"/>
    <w:multiLevelType w:val="hybridMultilevel"/>
    <w:tmpl w:val="83EA29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8588902">
    <w:abstractNumId w:val="2"/>
  </w:num>
  <w:num w:numId="2" w16cid:durableId="1512062438">
    <w:abstractNumId w:val="1"/>
  </w:num>
  <w:num w:numId="3" w16cid:durableId="1251501843">
    <w:abstractNumId w:val="0"/>
  </w:num>
  <w:num w:numId="4" w16cid:durableId="1254431536">
    <w:abstractNumId w:val="4"/>
  </w:num>
  <w:num w:numId="5" w16cid:durableId="3166113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FA0"/>
    <w:rsid w:val="000121DF"/>
    <w:rsid w:val="00030F13"/>
    <w:rsid w:val="00045F75"/>
    <w:rsid w:val="00052F5E"/>
    <w:rsid w:val="000B3FAB"/>
    <w:rsid w:val="000C246C"/>
    <w:rsid w:val="000C63E4"/>
    <w:rsid w:val="000D394E"/>
    <w:rsid w:val="00142E11"/>
    <w:rsid w:val="001431AF"/>
    <w:rsid w:val="001434A6"/>
    <w:rsid w:val="001461DA"/>
    <w:rsid w:val="00154E8B"/>
    <w:rsid w:val="0018258F"/>
    <w:rsid w:val="001A33A2"/>
    <w:rsid w:val="001B2722"/>
    <w:rsid w:val="001D338D"/>
    <w:rsid w:val="001D5220"/>
    <w:rsid w:val="00220E58"/>
    <w:rsid w:val="00273123"/>
    <w:rsid w:val="00277EAF"/>
    <w:rsid w:val="002C77C2"/>
    <w:rsid w:val="002E039C"/>
    <w:rsid w:val="0033086B"/>
    <w:rsid w:val="003333F6"/>
    <w:rsid w:val="00333EAC"/>
    <w:rsid w:val="003372A0"/>
    <w:rsid w:val="00346173"/>
    <w:rsid w:val="00347CB3"/>
    <w:rsid w:val="00364683"/>
    <w:rsid w:val="003711F0"/>
    <w:rsid w:val="00391801"/>
    <w:rsid w:val="003B02ED"/>
    <w:rsid w:val="003E2EF9"/>
    <w:rsid w:val="003E55FA"/>
    <w:rsid w:val="003E7D65"/>
    <w:rsid w:val="004001E0"/>
    <w:rsid w:val="00405A74"/>
    <w:rsid w:val="004241D7"/>
    <w:rsid w:val="00436B53"/>
    <w:rsid w:val="004454CB"/>
    <w:rsid w:val="004834C1"/>
    <w:rsid w:val="004904A8"/>
    <w:rsid w:val="00494C77"/>
    <w:rsid w:val="004C3835"/>
    <w:rsid w:val="004D441F"/>
    <w:rsid w:val="004F7142"/>
    <w:rsid w:val="00544A7B"/>
    <w:rsid w:val="00557C84"/>
    <w:rsid w:val="0057031C"/>
    <w:rsid w:val="00575F88"/>
    <w:rsid w:val="005C33C1"/>
    <w:rsid w:val="005C6EA5"/>
    <w:rsid w:val="00661942"/>
    <w:rsid w:val="00666782"/>
    <w:rsid w:val="006736F5"/>
    <w:rsid w:val="006A2EC4"/>
    <w:rsid w:val="006B0FB3"/>
    <w:rsid w:val="00735A01"/>
    <w:rsid w:val="0073752E"/>
    <w:rsid w:val="00755648"/>
    <w:rsid w:val="007C19F8"/>
    <w:rsid w:val="007E26A6"/>
    <w:rsid w:val="007E32D1"/>
    <w:rsid w:val="008019FD"/>
    <w:rsid w:val="00806D91"/>
    <w:rsid w:val="008466E7"/>
    <w:rsid w:val="00850D1C"/>
    <w:rsid w:val="00861688"/>
    <w:rsid w:val="0088220B"/>
    <w:rsid w:val="008B6672"/>
    <w:rsid w:val="008D2F42"/>
    <w:rsid w:val="008D5FE3"/>
    <w:rsid w:val="008E7CA4"/>
    <w:rsid w:val="008F1277"/>
    <w:rsid w:val="00911936"/>
    <w:rsid w:val="0095212C"/>
    <w:rsid w:val="00974BA5"/>
    <w:rsid w:val="00983082"/>
    <w:rsid w:val="009B726E"/>
    <w:rsid w:val="009E4DC3"/>
    <w:rsid w:val="00A126DB"/>
    <w:rsid w:val="00A16701"/>
    <w:rsid w:val="00A2339A"/>
    <w:rsid w:val="00A80EC5"/>
    <w:rsid w:val="00A90535"/>
    <w:rsid w:val="00AB1799"/>
    <w:rsid w:val="00AC4FF9"/>
    <w:rsid w:val="00AC74D4"/>
    <w:rsid w:val="00AE1E25"/>
    <w:rsid w:val="00AF5BEE"/>
    <w:rsid w:val="00B0681C"/>
    <w:rsid w:val="00B32389"/>
    <w:rsid w:val="00B332CF"/>
    <w:rsid w:val="00B40FA0"/>
    <w:rsid w:val="00B50654"/>
    <w:rsid w:val="00B915F4"/>
    <w:rsid w:val="00BC0C0D"/>
    <w:rsid w:val="00BD018A"/>
    <w:rsid w:val="00BE19F9"/>
    <w:rsid w:val="00BE558D"/>
    <w:rsid w:val="00BE65FA"/>
    <w:rsid w:val="00BF587C"/>
    <w:rsid w:val="00BF64B3"/>
    <w:rsid w:val="00C208AA"/>
    <w:rsid w:val="00C22297"/>
    <w:rsid w:val="00C2564E"/>
    <w:rsid w:val="00C41D5C"/>
    <w:rsid w:val="00C4428B"/>
    <w:rsid w:val="00C7755D"/>
    <w:rsid w:val="00C77E4D"/>
    <w:rsid w:val="00C83FFD"/>
    <w:rsid w:val="00CB5C82"/>
    <w:rsid w:val="00D02D67"/>
    <w:rsid w:val="00D03186"/>
    <w:rsid w:val="00D15CC1"/>
    <w:rsid w:val="00D20A83"/>
    <w:rsid w:val="00D56BE6"/>
    <w:rsid w:val="00D77622"/>
    <w:rsid w:val="00D85B9D"/>
    <w:rsid w:val="00DC28DF"/>
    <w:rsid w:val="00DE5E67"/>
    <w:rsid w:val="00DE7765"/>
    <w:rsid w:val="00E10A61"/>
    <w:rsid w:val="00E114EC"/>
    <w:rsid w:val="00E51490"/>
    <w:rsid w:val="00EA08D4"/>
    <w:rsid w:val="00EC65BF"/>
    <w:rsid w:val="00EF4023"/>
    <w:rsid w:val="00F04472"/>
    <w:rsid w:val="00F16983"/>
    <w:rsid w:val="00F61936"/>
    <w:rsid w:val="00FE0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B5663"/>
  <w15:chartTrackingRefBased/>
  <w15:docId w15:val="{34E72D5C-C4BE-4C50-9FB0-A1C9BBA48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0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0FA0"/>
    <w:pPr>
      <w:ind w:left="720"/>
      <w:contextualSpacing/>
    </w:pPr>
  </w:style>
  <w:style w:type="paragraph" w:styleId="Header">
    <w:name w:val="header"/>
    <w:basedOn w:val="Normal"/>
    <w:link w:val="HeaderChar"/>
    <w:uiPriority w:val="99"/>
    <w:unhideWhenUsed/>
    <w:rsid w:val="00B40F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FA0"/>
  </w:style>
  <w:style w:type="paragraph" w:styleId="Footer">
    <w:name w:val="footer"/>
    <w:basedOn w:val="Normal"/>
    <w:link w:val="FooterChar"/>
    <w:uiPriority w:val="99"/>
    <w:unhideWhenUsed/>
    <w:rsid w:val="00B40F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FA0"/>
  </w:style>
  <w:style w:type="paragraph" w:customStyle="1" w:styleId="body-paragraph">
    <w:name w:val="body-paragraph"/>
    <w:basedOn w:val="Normal"/>
    <w:rsid w:val="0036468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E7CA4"/>
    <w:rPr>
      <w:color w:val="0563C1" w:themeColor="hyperlink"/>
      <w:u w:val="single"/>
    </w:rPr>
  </w:style>
  <w:style w:type="character" w:styleId="UnresolvedMention">
    <w:name w:val="Unresolved Mention"/>
    <w:basedOn w:val="DefaultParagraphFont"/>
    <w:uiPriority w:val="99"/>
    <w:semiHidden/>
    <w:unhideWhenUsed/>
    <w:rsid w:val="008E7C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21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clevelandclinic.org/health/body/23266-parasympathetic-nervous-system-ps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i.org/10.1186/s12905-023-02651-2" TargetMode="External"/><Relationship Id="rId4" Type="http://schemas.openxmlformats.org/officeDocument/2006/relationships/settings" Target="settings.xml"/><Relationship Id="rId9" Type="http://schemas.openxmlformats.org/officeDocument/2006/relationships/hyperlink" Target="https://my.clevelandclinic.org/health/body/23262-sympathetic-nervous-syste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C9E09-E227-49FF-BA8A-4F48F3139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10</Pages>
  <Words>2497</Words>
  <Characters>14238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Cleveland Clinic</Company>
  <LinksUpToDate>false</LinksUpToDate>
  <CharactersWithSpaces>16702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Stricker, Linda</dc:creator>
  <cp:keywords/>
  <dc:description/>
  <cp:lastModifiedBy>Pamela Pirrello</cp:lastModifiedBy>
  <cp:revision>88</cp:revision>
  <dcterms:created xsi:type="dcterms:W3CDTF">2021-09-01T16:26:00Z</dcterms:created>
  <dcterms:modified xsi:type="dcterms:W3CDTF">2023-10-29T22:49:00Z</dcterms:modified>
</cp:coreProperties>
</file>