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9D56" w14:textId="35B79D61" w:rsidR="00735A01" w:rsidRPr="002D2F66" w:rsidRDefault="00735A01" w:rsidP="00735A01">
      <w:pPr>
        <w:pStyle w:val="Header"/>
        <w:rPr>
          <w:rFonts w:cstheme="minorHAnsi"/>
        </w:rPr>
      </w:pPr>
      <w:r w:rsidRPr="002D2F66">
        <w:rPr>
          <w:rFonts w:cstheme="minorHAnsi"/>
          <w:b/>
          <w:color w:val="000000" w:themeColor="text1"/>
        </w:rPr>
        <w:t xml:space="preserve">Name: </w:t>
      </w:r>
      <w:r w:rsidR="00EF0DAD" w:rsidRPr="002D2F66">
        <w:rPr>
          <w:rFonts w:cstheme="minorHAnsi"/>
          <w:b/>
          <w:color w:val="000000" w:themeColor="text1"/>
        </w:rPr>
        <w:t>Kassandra Garcia</w:t>
      </w:r>
    </w:p>
    <w:p w14:paraId="223BB274" w14:textId="77777777" w:rsidR="00735A01" w:rsidRPr="002D2F66" w:rsidRDefault="00735A01" w:rsidP="009B726E">
      <w:pPr>
        <w:jc w:val="both"/>
        <w:rPr>
          <w:rFonts w:cstheme="minorHAnsi"/>
          <w:b/>
          <w:color w:val="000000" w:themeColor="text1"/>
        </w:rPr>
      </w:pPr>
    </w:p>
    <w:p w14:paraId="6739C72F" w14:textId="60725358" w:rsidR="00735A01" w:rsidRPr="002D2F66" w:rsidRDefault="00735A01" w:rsidP="009B726E">
      <w:pPr>
        <w:jc w:val="both"/>
        <w:rPr>
          <w:rFonts w:cstheme="minorHAnsi"/>
          <w:b/>
          <w:color w:val="000000" w:themeColor="text1"/>
        </w:rPr>
      </w:pPr>
      <w:r w:rsidRPr="002D2F66">
        <w:rPr>
          <w:rFonts w:cstheme="minorHAnsi"/>
          <w:b/>
          <w:color w:val="000000" w:themeColor="text1"/>
        </w:rPr>
        <w:t xml:space="preserve">Point </w:t>
      </w:r>
      <w:r w:rsidR="00EF0DAD" w:rsidRPr="002D2F66">
        <w:rPr>
          <w:rFonts w:cstheme="minorHAnsi"/>
          <w:b/>
          <w:color w:val="000000" w:themeColor="text1"/>
        </w:rPr>
        <w:t>C</w:t>
      </w:r>
      <w:r w:rsidRPr="002D2F66">
        <w:rPr>
          <w:rFonts w:cstheme="minorHAnsi"/>
          <w:b/>
          <w:color w:val="000000" w:themeColor="text1"/>
        </w:rPr>
        <w:t>riteria</w:t>
      </w:r>
    </w:p>
    <w:tbl>
      <w:tblPr>
        <w:tblW w:w="508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90"/>
        <w:gridCol w:w="2590"/>
        <w:gridCol w:w="2810"/>
      </w:tblGrid>
      <w:tr w:rsidR="00735A01" w:rsidRPr="002D2F66" w14:paraId="3347FA56" w14:textId="77777777" w:rsidTr="00017608">
        <w:trPr>
          <w:tblHeader/>
          <w:tblCellSpacing w:w="0" w:type="dxa"/>
          <w:jc w:val="center"/>
        </w:trPr>
        <w:tc>
          <w:tcPr>
            <w:tcW w:w="983" w:type="pct"/>
            <w:shd w:val="clear" w:color="auto" w:fill="EFE7D8"/>
            <w:vAlign w:val="center"/>
          </w:tcPr>
          <w:p w14:paraId="2E9B3502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134D6CE3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Under performance</w:t>
            </w:r>
          </w:p>
          <w:p w14:paraId="1C570E2B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&lt;3 points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52C748F5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Basic</w:t>
            </w:r>
          </w:p>
          <w:p w14:paraId="4246C7D4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3 – 3.9 points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306CEE47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Proficient</w:t>
            </w:r>
          </w:p>
          <w:p w14:paraId="5DFDE099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4.0 – 4.4 points per criteria</w:t>
            </w:r>
          </w:p>
        </w:tc>
        <w:tc>
          <w:tcPr>
            <w:tcW w:w="1067" w:type="pct"/>
            <w:shd w:val="clear" w:color="auto" w:fill="EFE7D8"/>
            <w:vAlign w:val="center"/>
          </w:tcPr>
          <w:p w14:paraId="6F9E405F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Distinguished</w:t>
            </w:r>
          </w:p>
          <w:p w14:paraId="251860D8" w14:textId="77777777" w:rsidR="00735A01" w:rsidRPr="002D2F66" w:rsidRDefault="00735A01" w:rsidP="00017608">
            <w:pPr>
              <w:jc w:val="center"/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>4.5 – 5 points per criteria</w:t>
            </w:r>
          </w:p>
        </w:tc>
      </w:tr>
      <w:tr w:rsidR="00735A01" w:rsidRPr="002D2F66" w14:paraId="0988AA62" w14:textId="77777777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6B5B9419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  <w:b/>
                <w:bCs/>
              </w:rPr>
              <w:t>Required content objectives</w:t>
            </w:r>
          </w:p>
        </w:tc>
        <w:tc>
          <w:tcPr>
            <w:tcW w:w="983" w:type="pct"/>
          </w:tcPr>
          <w:p w14:paraId="334D81A3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 xml:space="preserve">Content objectives are missing or sparsely covered. </w:t>
            </w:r>
          </w:p>
        </w:tc>
        <w:tc>
          <w:tcPr>
            <w:tcW w:w="983" w:type="pct"/>
          </w:tcPr>
          <w:p w14:paraId="3F731C1D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 xml:space="preserve">Content objectives are not consistently addressed. Demonstrates minimal understanding of content. </w:t>
            </w:r>
          </w:p>
        </w:tc>
        <w:tc>
          <w:tcPr>
            <w:tcW w:w="983" w:type="pct"/>
          </w:tcPr>
          <w:p w14:paraId="3E0A4C77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 xml:space="preserve">Content objectives consistently addressed. Demonstrates understanding of content. </w:t>
            </w:r>
          </w:p>
        </w:tc>
        <w:tc>
          <w:tcPr>
            <w:tcW w:w="1067" w:type="pct"/>
          </w:tcPr>
          <w:p w14:paraId="2C245975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 xml:space="preserve">Content objectives consistently addressed. Demonstrates mastery of content. </w:t>
            </w:r>
          </w:p>
        </w:tc>
      </w:tr>
      <w:tr w:rsidR="00735A01" w:rsidRPr="002D2F66" w14:paraId="62D6951E" w14:textId="77777777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5AFD3303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  <w:b/>
                <w:bCs/>
              </w:rPr>
              <w:t>Academic writing standards</w:t>
            </w:r>
          </w:p>
        </w:tc>
        <w:tc>
          <w:tcPr>
            <w:tcW w:w="983" w:type="pct"/>
          </w:tcPr>
          <w:p w14:paraId="3E9AE9E2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Writing lacks scholarly tone &amp; focus. Sparse content. Multiple grammatical, spelling, &amp; factual errors. Reliance on bullet points rather than effective writing in speaker notes. 4 or more direct quotes per project.</w:t>
            </w:r>
          </w:p>
        </w:tc>
        <w:tc>
          <w:tcPr>
            <w:tcW w:w="983" w:type="pct"/>
          </w:tcPr>
          <w:p w14:paraId="580B5D3D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Writing is unclear and/or disorganized. Inconsistent scholarly tone. Inadequate depth of content. Grammatical and spelling errors. No more than 3 direct quote of less than 40 words per project.</w:t>
            </w:r>
          </w:p>
        </w:tc>
        <w:tc>
          <w:tcPr>
            <w:tcW w:w="983" w:type="pct"/>
          </w:tcPr>
          <w:p w14:paraId="4704DAB5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Writing demonstrates general exploration of content. Responses are clearly written using scholarly tone. Few grammatical and/or spelling errors. No more than 2 direct quote of less than 40 words per project.</w:t>
            </w:r>
          </w:p>
        </w:tc>
        <w:tc>
          <w:tcPr>
            <w:tcW w:w="1067" w:type="pct"/>
          </w:tcPr>
          <w:p w14:paraId="20471AA9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Writing demonstrates comprehensive exploration of content. Responses are clearly written using scholarly tone. Rare grammatical and/or spelling errors. No more than 1 direct quote of less than 40 words per project.</w:t>
            </w:r>
          </w:p>
        </w:tc>
      </w:tr>
      <w:tr w:rsidR="00735A01" w:rsidRPr="002D2F66" w14:paraId="56640041" w14:textId="77777777" w:rsidTr="00017608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5D2383ED" w14:textId="77777777" w:rsidR="00735A01" w:rsidRPr="002D2F66" w:rsidRDefault="00735A01" w:rsidP="00017608">
            <w:pPr>
              <w:rPr>
                <w:rFonts w:cstheme="minorHAnsi"/>
                <w:b/>
                <w:bCs/>
              </w:rPr>
            </w:pPr>
            <w:r w:rsidRPr="002D2F66">
              <w:rPr>
                <w:rFonts w:cstheme="minorHAnsi"/>
                <w:b/>
                <w:bCs/>
              </w:rPr>
              <w:t xml:space="preserve">APA formatting </w:t>
            </w:r>
          </w:p>
        </w:tc>
        <w:tc>
          <w:tcPr>
            <w:tcW w:w="983" w:type="pct"/>
          </w:tcPr>
          <w:p w14:paraId="368907BF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References and citations have multiple errors or are missing.</w:t>
            </w:r>
          </w:p>
        </w:tc>
        <w:tc>
          <w:tcPr>
            <w:tcW w:w="983" w:type="pct"/>
          </w:tcPr>
          <w:p w14:paraId="41FAEC66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References and citations have errors.</w:t>
            </w:r>
          </w:p>
        </w:tc>
        <w:tc>
          <w:tcPr>
            <w:tcW w:w="983" w:type="pct"/>
          </w:tcPr>
          <w:p w14:paraId="524BDFDE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References and citations have few errors.</w:t>
            </w:r>
          </w:p>
        </w:tc>
        <w:tc>
          <w:tcPr>
            <w:tcW w:w="1067" w:type="pct"/>
          </w:tcPr>
          <w:p w14:paraId="43D8272F" w14:textId="77777777" w:rsidR="00735A01" w:rsidRPr="002D2F66" w:rsidRDefault="00735A01" w:rsidP="00017608">
            <w:pPr>
              <w:rPr>
                <w:rFonts w:cstheme="minorHAnsi"/>
              </w:rPr>
            </w:pPr>
            <w:r w:rsidRPr="002D2F66">
              <w:rPr>
                <w:rFonts w:cstheme="minorHAnsi"/>
              </w:rPr>
              <w:t>References and citations have rare errors.</w:t>
            </w:r>
          </w:p>
        </w:tc>
      </w:tr>
    </w:tbl>
    <w:p w14:paraId="556A90B5" w14:textId="77777777" w:rsidR="00735A01" w:rsidRPr="002D2F66" w:rsidRDefault="00735A01" w:rsidP="009B726E">
      <w:pPr>
        <w:jc w:val="both"/>
        <w:rPr>
          <w:rFonts w:cstheme="minorHAnsi"/>
          <w:b/>
          <w:color w:val="000000" w:themeColor="text1"/>
        </w:rPr>
      </w:pPr>
    </w:p>
    <w:p w14:paraId="743E5A73" w14:textId="77777777" w:rsidR="009B726E" w:rsidRPr="002D2F66" w:rsidRDefault="00735A01" w:rsidP="009B726E">
      <w:pPr>
        <w:jc w:val="both"/>
        <w:rPr>
          <w:rFonts w:cstheme="minorHAnsi"/>
          <w:b/>
          <w:color w:val="FF0000"/>
        </w:rPr>
      </w:pPr>
      <w:r w:rsidRPr="002D2F66">
        <w:rPr>
          <w:rFonts w:cstheme="minorHAnsi"/>
          <w:b/>
          <w:color w:val="000000" w:themeColor="text1"/>
        </w:rPr>
        <w:t xml:space="preserve">Carefully review the assignment rubric above for how points are awarded. </w:t>
      </w:r>
      <w:r w:rsidR="009B726E" w:rsidRPr="002D2F66">
        <w:rPr>
          <w:rFonts w:cstheme="minorHAnsi"/>
          <w:b/>
          <w:color w:val="000000" w:themeColor="text1"/>
        </w:rPr>
        <w:t>Using academic writing standards and APA formatting of references</w:t>
      </w:r>
      <w:r w:rsidRPr="002D2F66">
        <w:rPr>
          <w:rFonts w:cstheme="minorHAnsi"/>
          <w:b/>
          <w:color w:val="000000" w:themeColor="text1"/>
        </w:rPr>
        <w:t xml:space="preserve"> and citations</w:t>
      </w:r>
      <w:r w:rsidR="009B726E" w:rsidRPr="002D2F66">
        <w:rPr>
          <w:rFonts w:cstheme="minorHAnsi"/>
          <w:b/>
          <w:color w:val="000000" w:themeColor="text1"/>
        </w:rPr>
        <w:t>, respond to each of</w:t>
      </w:r>
      <w:r w:rsidRPr="002D2F66">
        <w:rPr>
          <w:rFonts w:cstheme="minorHAnsi"/>
          <w:b/>
          <w:color w:val="000000" w:themeColor="text1"/>
        </w:rPr>
        <w:t xml:space="preserve"> the </w:t>
      </w:r>
      <w:r w:rsidR="009B726E" w:rsidRPr="002D2F66">
        <w:rPr>
          <w:rFonts w:cstheme="minorHAnsi"/>
          <w:b/>
          <w:color w:val="000000" w:themeColor="text1"/>
        </w:rPr>
        <w:t>learning objectives</w:t>
      </w:r>
      <w:r w:rsidRPr="002D2F66">
        <w:rPr>
          <w:rFonts w:cstheme="minorHAnsi"/>
          <w:b/>
          <w:color w:val="000000" w:themeColor="text1"/>
        </w:rPr>
        <w:t xml:space="preserve"> on page two</w:t>
      </w:r>
      <w:r w:rsidR="009B726E" w:rsidRPr="002D2F66">
        <w:rPr>
          <w:rFonts w:cstheme="minorHAnsi"/>
          <w:b/>
          <w:color w:val="000000" w:themeColor="text1"/>
        </w:rPr>
        <w:t xml:space="preserve">. </w:t>
      </w:r>
      <w:r w:rsidRPr="002D2F66">
        <w:rPr>
          <w:rFonts w:cstheme="minorHAnsi"/>
          <w:b/>
          <w:color w:val="000000" w:themeColor="text1"/>
          <w:highlight w:val="yellow"/>
        </w:rPr>
        <w:t>Each response</w:t>
      </w:r>
      <w:r w:rsidR="009B726E" w:rsidRPr="002D2F66">
        <w:rPr>
          <w:rFonts w:cstheme="minorHAnsi"/>
          <w:b/>
          <w:color w:val="000000" w:themeColor="text1"/>
          <w:highlight w:val="yellow"/>
        </w:rPr>
        <w:t xml:space="preserve"> should be 150-350 words in length.</w:t>
      </w:r>
      <w:r w:rsidR="009B726E" w:rsidRPr="002D2F66">
        <w:rPr>
          <w:rFonts w:cstheme="minorHAnsi"/>
          <w:b/>
          <w:color w:val="000000" w:themeColor="text1"/>
        </w:rPr>
        <w:t xml:space="preserve"> Save the completed document as the assignment title and submit to the </w:t>
      </w:r>
      <w:proofErr w:type="spellStart"/>
      <w:r w:rsidR="009B726E" w:rsidRPr="002D2F66">
        <w:rPr>
          <w:rFonts w:cstheme="minorHAnsi"/>
          <w:b/>
          <w:color w:val="000000" w:themeColor="text1"/>
        </w:rPr>
        <w:t>dropbox</w:t>
      </w:r>
      <w:proofErr w:type="spellEnd"/>
      <w:r w:rsidR="009B726E" w:rsidRPr="002D2F66">
        <w:rPr>
          <w:rFonts w:cstheme="minorHAnsi"/>
          <w:b/>
          <w:color w:val="000000" w:themeColor="text1"/>
        </w:rPr>
        <w:t>.</w:t>
      </w:r>
    </w:p>
    <w:p w14:paraId="176E3FB6" w14:textId="77777777" w:rsidR="00735A01" w:rsidRPr="002D2F66" w:rsidRDefault="007E32D1" w:rsidP="00735A0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lastRenderedPageBreak/>
        <w:t>Explain</w:t>
      </w:r>
      <w:r w:rsidR="00735A01" w:rsidRPr="002D2F66">
        <w:rPr>
          <w:rFonts w:cstheme="minorHAnsi"/>
        </w:rPr>
        <w:t xml:space="preserve"> the pelvic nerves responsible for sexual function, and how the sympathetic &amp; parasympathetic nervous systems impact this process.</w:t>
      </w:r>
    </w:p>
    <w:p w14:paraId="1F91EBDA" w14:textId="1B1D892E" w:rsidR="001B3626" w:rsidRPr="002D2F66" w:rsidRDefault="00084E36" w:rsidP="007E32D1">
      <w:pPr>
        <w:jc w:val="both"/>
        <w:rPr>
          <w:rFonts w:cstheme="minorHAnsi"/>
        </w:rPr>
      </w:pPr>
      <w:r w:rsidRPr="002D2F66">
        <w:rPr>
          <w:rFonts w:cstheme="minorHAnsi"/>
        </w:rPr>
        <w:t>Sexual function</w:t>
      </w:r>
      <w:r w:rsidR="00C22E15" w:rsidRPr="002D2F66">
        <w:rPr>
          <w:rFonts w:cstheme="minorHAnsi"/>
        </w:rPr>
        <w:t xml:space="preserve"> involves </w:t>
      </w:r>
      <w:r w:rsidR="001B3626" w:rsidRPr="002D2F66">
        <w:rPr>
          <w:rFonts w:cstheme="minorHAnsi"/>
        </w:rPr>
        <w:t xml:space="preserve">the sex organs and a few specific nerves within the body to operate. </w:t>
      </w:r>
      <w:r w:rsidRPr="002D2F66">
        <w:rPr>
          <w:rFonts w:cstheme="minorHAnsi"/>
        </w:rPr>
        <w:t xml:space="preserve">The male sex organs </w:t>
      </w:r>
      <w:r w:rsidR="00DB57BE" w:rsidRPr="002D2F66">
        <w:rPr>
          <w:rFonts w:cstheme="minorHAnsi"/>
        </w:rPr>
        <w:t xml:space="preserve">include the testes, </w:t>
      </w:r>
      <w:r w:rsidR="00310F6D" w:rsidRPr="002D2F66">
        <w:rPr>
          <w:rFonts w:cstheme="minorHAnsi"/>
        </w:rPr>
        <w:t xml:space="preserve">penis, </w:t>
      </w:r>
      <w:r w:rsidR="00E54659" w:rsidRPr="002D2F66">
        <w:rPr>
          <w:rFonts w:cstheme="minorHAnsi"/>
        </w:rPr>
        <w:t>epid</w:t>
      </w:r>
      <w:r w:rsidR="00D200BD" w:rsidRPr="002D2F66">
        <w:rPr>
          <w:rFonts w:cstheme="minorHAnsi"/>
        </w:rPr>
        <w:t>idymis, vas deferens,</w:t>
      </w:r>
      <w:r w:rsidR="00310F6D" w:rsidRPr="002D2F66">
        <w:rPr>
          <w:rFonts w:cstheme="minorHAnsi"/>
        </w:rPr>
        <w:t xml:space="preserve"> seminal </w:t>
      </w:r>
      <w:r w:rsidR="008420F3" w:rsidRPr="002D2F66">
        <w:rPr>
          <w:rFonts w:cstheme="minorHAnsi"/>
        </w:rPr>
        <w:t>vesicles,</w:t>
      </w:r>
      <w:r w:rsidR="00310F6D" w:rsidRPr="002D2F66">
        <w:rPr>
          <w:rFonts w:cstheme="minorHAnsi"/>
        </w:rPr>
        <w:t xml:space="preserve"> and the prostate.</w:t>
      </w:r>
      <w:r w:rsidR="008420F3" w:rsidRPr="002D2F66">
        <w:rPr>
          <w:rFonts w:cstheme="minorHAnsi"/>
        </w:rPr>
        <w:t xml:space="preserve"> </w:t>
      </w:r>
      <w:r w:rsidR="00C84838" w:rsidRPr="002D2F66">
        <w:rPr>
          <w:rFonts w:cstheme="minorHAnsi"/>
        </w:rPr>
        <w:t xml:space="preserve">Female genitalia </w:t>
      </w:r>
      <w:r w:rsidR="00A34B24" w:rsidRPr="002D2F66">
        <w:rPr>
          <w:rFonts w:cstheme="minorHAnsi"/>
        </w:rPr>
        <w:t>include</w:t>
      </w:r>
      <w:r w:rsidR="00C84838" w:rsidRPr="002D2F66">
        <w:rPr>
          <w:rFonts w:cstheme="minorHAnsi"/>
        </w:rPr>
        <w:t xml:space="preserve"> </w:t>
      </w:r>
      <w:r w:rsidR="0016446F" w:rsidRPr="002D2F66">
        <w:rPr>
          <w:rFonts w:cstheme="minorHAnsi"/>
        </w:rPr>
        <w:t>the mons pubis, labia majora, labia minora</w:t>
      </w:r>
      <w:r w:rsidR="008D6CB5" w:rsidRPr="002D2F66">
        <w:rPr>
          <w:rFonts w:cstheme="minorHAnsi"/>
        </w:rPr>
        <w:t xml:space="preserve">, vagina, urethral opening, </w:t>
      </w:r>
      <w:r w:rsidR="00E277EB" w:rsidRPr="002D2F66">
        <w:rPr>
          <w:rFonts w:cstheme="minorHAnsi"/>
        </w:rPr>
        <w:t>clitoris,</w:t>
      </w:r>
      <w:r w:rsidR="008D6CB5" w:rsidRPr="002D2F66">
        <w:rPr>
          <w:rFonts w:cstheme="minorHAnsi"/>
        </w:rPr>
        <w:t xml:space="preserve"> and perineum. </w:t>
      </w:r>
      <w:r w:rsidR="000A179B" w:rsidRPr="002D2F66">
        <w:rPr>
          <w:rFonts w:cstheme="minorHAnsi"/>
        </w:rPr>
        <w:t xml:space="preserve">For sexual arousal </w:t>
      </w:r>
      <w:r w:rsidR="00F262BF" w:rsidRPr="002D2F66">
        <w:rPr>
          <w:rFonts w:cstheme="minorHAnsi"/>
        </w:rPr>
        <w:t xml:space="preserve">and function to occur certain nerves </w:t>
      </w:r>
      <w:r w:rsidR="0006530E" w:rsidRPr="002D2F66">
        <w:rPr>
          <w:rFonts w:cstheme="minorHAnsi"/>
        </w:rPr>
        <w:t>within the sympathetic and parasympathetic nervous system</w:t>
      </w:r>
      <w:r w:rsidR="00BC6AB1" w:rsidRPr="002D2F66">
        <w:rPr>
          <w:rFonts w:cstheme="minorHAnsi"/>
        </w:rPr>
        <w:t xml:space="preserve"> </w:t>
      </w:r>
      <w:r w:rsidR="008E168E" w:rsidRPr="002D2F66">
        <w:rPr>
          <w:rFonts w:cstheme="minorHAnsi"/>
        </w:rPr>
        <w:t>need to function.</w:t>
      </w:r>
      <w:r w:rsidR="00E277EB" w:rsidRPr="002D2F66">
        <w:rPr>
          <w:rFonts w:cstheme="minorHAnsi"/>
        </w:rPr>
        <w:t xml:space="preserve"> </w:t>
      </w:r>
      <w:r w:rsidR="003B718A" w:rsidRPr="002D2F66">
        <w:rPr>
          <w:rFonts w:cstheme="minorHAnsi"/>
        </w:rPr>
        <w:t>The p</w:t>
      </w:r>
      <w:r w:rsidR="00007A9E" w:rsidRPr="002D2F66">
        <w:rPr>
          <w:rFonts w:cstheme="minorHAnsi"/>
        </w:rPr>
        <w:t xml:space="preserve">elvic nerves involved in sexual function include the pudendal nerve, pelvic nerve, and hypogastric nerve. </w:t>
      </w:r>
      <w:r w:rsidR="002A51F7" w:rsidRPr="002D2F66">
        <w:rPr>
          <w:rFonts w:cstheme="minorHAnsi"/>
        </w:rPr>
        <w:t xml:space="preserve">The pelvic nerve is derived from </w:t>
      </w:r>
      <w:r w:rsidR="00690A4D" w:rsidRPr="002D2F66">
        <w:rPr>
          <w:rFonts w:cstheme="minorHAnsi"/>
        </w:rPr>
        <w:t xml:space="preserve">the sacral parasympathetic while the hypogastric nerve is derived from the thoracolumbar sympathetic systems. </w:t>
      </w:r>
      <w:r w:rsidR="004F4595" w:rsidRPr="002D2F66">
        <w:rPr>
          <w:rFonts w:cstheme="minorHAnsi"/>
        </w:rPr>
        <w:t xml:space="preserve">The pudendal nerve </w:t>
      </w:r>
      <w:r w:rsidR="00C14F0A" w:rsidRPr="002D2F66">
        <w:rPr>
          <w:rFonts w:cstheme="minorHAnsi"/>
        </w:rPr>
        <w:t>includes</w:t>
      </w:r>
      <w:r w:rsidR="00E24770" w:rsidRPr="002D2F66">
        <w:rPr>
          <w:rFonts w:cstheme="minorHAnsi"/>
        </w:rPr>
        <w:t xml:space="preserve"> motor and sensory control. The motor control portion is required for pelvic floor muscles to contract</w:t>
      </w:r>
      <w:r w:rsidR="00C14F0A" w:rsidRPr="002D2F66">
        <w:rPr>
          <w:rFonts w:cstheme="minorHAnsi"/>
        </w:rPr>
        <w:t xml:space="preserve">. </w:t>
      </w:r>
      <w:r w:rsidR="00F030C3" w:rsidRPr="002D2F66">
        <w:rPr>
          <w:rFonts w:cstheme="minorHAnsi"/>
        </w:rPr>
        <w:t xml:space="preserve">The sensory control portion involves the hypogastric, pelvic, and </w:t>
      </w:r>
      <w:proofErr w:type="spellStart"/>
      <w:r w:rsidR="00F030C3" w:rsidRPr="002D2F66">
        <w:rPr>
          <w:rFonts w:cstheme="minorHAnsi"/>
        </w:rPr>
        <w:t>vagus</w:t>
      </w:r>
      <w:proofErr w:type="spellEnd"/>
      <w:r w:rsidR="00F030C3" w:rsidRPr="002D2F66">
        <w:rPr>
          <w:rFonts w:cstheme="minorHAnsi"/>
        </w:rPr>
        <w:t xml:space="preserve"> nerves. </w:t>
      </w:r>
      <w:r w:rsidR="00C10BAE" w:rsidRPr="002D2F66">
        <w:rPr>
          <w:rFonts w:cstheme="minorHAnsi"/>
        </w:rPr>
        <w:t xml:space="preserve">Both males and females require nerve firing </w:t>
      </w:r>
      <w:r w:rsidR="00E16C73" w:rsidRPr="002D2F66">
        <w:rPr>
          <w:rFonts w:cstheme="minorHAnsi"/>
        </w:rPr>
        <w:t>from the sympathetic system and parasympathetic system</w:t>
      </w:r>
      <w:r w:rsidR="002D2F66">
        <w:rPr>
          <w:rFonts w:cstheme="minorHAnsi"/>
        </w:rPr>
        <w:t>.</w:t>
      </w:r>
      <w:r w:rsidR="00E16C73" w:rsidRPr="002D2F66">
        <w:rPr>
          <w:rFonts w:cstheme="minorHAnsi"/>
        </w:rPr>
        <w:t xml:space="preserve"> </w:t>
      </w:r>
      <w:r w:rsidR="00C452FA" w:rsidRPr="002D2F66">
        <w:rPr>
          <w:rFonts w:cstheme="minorHAnsi"/>
        </w:rPr>
        <w:t xml:space="preserve">As </w:t>
      </w:r>
      <w:r w:rsidR="006B35F6" w:rsidRPr="002D2F66">
        <w:rPr>
          <w:rFonts w:cstheme="minorHAnsi"/>
        </w:rPr>
        <w:t>stated,</w:t>
      </w:r>
      <w:r w:rsidR="00C452FA" w:rsidRPr="002D2F66">
        <w:rPr>
          <w:rFonts w:cstheme="minorHAnsi"/>
        </w:rPr>
        <w:t xml:space="preserve"> </w:t>
      </w:r>
      <w:r w:rsidR="006B35F6" w:rsidRPr="002D2F66">
        <w:rPr>
          <w:rFonts w:cstheme="minorHAnsi"/>
        </w:rPr>
        <w:t>sympathetic</w:t>
      </w:r>
      <w:r w:rsidR="00C452FA" w:rsidRPr="002D2F66">
        <w:rPr>
          <w:rFonts w:cstheme="minorHAnsi"/>
        </w:rPr>
        <w:t xml:space="preserve"> </w:t>
      </w:r>
      <w:r w:rsidR="00471F8F" w:rsidRPr="002D2F66">
        <w:rPr>
          <w:rFonts w:cstheme="minorHAnsi"/>
        </w:rPr>
        <w:t xml:space="preserve">innervation stems from the hypogastric nerve and parasympathetic innervation stems from the pelvic nerve. </w:t>
      </w:r>
      <w:r w:rsidR="00824A63" w:rsidRPr="002D2F66">
        <w:rPr>
          <w:rFonts w:cstheme="minorHAnsi"/>
        </w:rPr>
        <w:t xml:space="preserve">These nerves work together </w:t>
      </w:r>
      <w:r w:rsidR="0094762F" w:rsidRPr="002D2F66">
        <w:rPr>
          <w:rFonts w:cstheme="minorHAnsi"/>
        </w:rPr>
        <w:t xml:space="preserve">to produce sexual arousal. </w:t>
      </w:r>
      <w:r w:rsidR="002D2F66" w:rsidRPr="002D2F66">
        <w:rPr>
          <w:rFonts w:cstheme="minorHAnsi"/>
        </w:rPr>
        <w:t>The sympathetic</w:t>
      </w:r>
      <w:r w:rsidR="000773CF" w:rsidRPr="002D2F66">
        <w:rPr>
          <w:rFonts w:cstheme="minorHAnsi"/>
        </w:rPr>
        <w:t xml:space="preserve"> system </w:t>
      </w:r>
      <w:r w:rsidR="0005055B" w:rsidRPr="002D2F66">
        <w:rPr>
          <w:rFonts w:cstheme="minorHAnsi"/>
        </w:rPr>
        <w:t>plays a role in the mental</w:t>
      </w:r>
      <w:r w:rsidR="00D55D1C" w:rsidRPr="002D2F66">
        <w:rPr>
          <w:rFonts w:cstheme="minorHAnsi"/>
        </w:rPr>
        <w:t xml:space="preserve"> or psychological role of arousal and the parasympathetic plays a role in the physical </w:t>
      </w:r>
      <w:r w:rsidR="00DC2A32" w:rsidRPr="002D2F66">
        <w:rPr>
          <w:rFonts w:cstheme="minorHAnsi"/>
        </w:rPr>
        <w:t>lubrication of the vagina and erection</w:t>
      </w:r>
      <w:r w:rsidR="00591B50" w:rsidRPr="002D2F66">
        <w:rPr>
          <w:rFonts w:cstheme="minorHAnsi"/>
        </w:rPr>
        <w:t xml:space="preserve"> (</w:t>
      </w:r>
      <w:proofErr w:type="spellStart"/>
      <w:r w:rsidR="00591B50" w:rsidRPr="002D2F66">
        <w:rPr>
          <w:rFonts w:cstheme="minorHAnsi"/>
          <w:color w:val="212121"/>
          <w:shd w:val="clear" w:color="auto" w:fill="FFFFFF"/>
        </w:rPr>
        <w:t>Krassioukov</w:t>
      </w:r>
      <w:proofErr w:type="spellEnd"/>
      <w:r w:rsidR="00591B50" w:rsidRPr="002D2F66">
        <w:rPr>
          <w:rFonts w:cstheme="minorHAnsi"/>
          <w:color w:val="212121"/>
          <w:shd w:val="clear" w:color="auto" w:fill="FFFFFF"/>
        </w:rPr>
        <w:t xml:space="preserve"> &amp; Elliott, 2017).</w:t>
      </w:r>
    </w:p>
    <w:p w14:paraId="318C5215" w14:textId="77777777" w:rsidR="00735A01" w:rsidRPr="002D2F66" w:rsidRDefault="00735A01" w:rsidP="00735A0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>D</w:t>
      </w:r>
      <w:r w:rsidR="007E32D1" w:rsidRPr="002D2F66">
        <w:rPr>
          <w:rFonts w:cstheme="minorHAnsi"/>
        </w:rPr>
        <w:t>ifferentiate between</w:t>
      </w:r>
      <w:r w:rsidRPr="002D2F66">
        <w:rPr>
          <w:rFonts w:cstheme="minorHAnsi"/>
        </w:rPr>
        <w:t xml:space="preserve"> body image and self-concept. </w:t>
      </w:r>
    </w:p>
    <w:p w14:paraId="7D2E55E2" w14:textId="5EFB35F8" w:rsidR="007E32D1" w:rsidRPr="002D2F66" w:rsidRDefault="0011083B" w:rsidP="007E32D1">
      <w:pPr>
        <w:jc w:val="both"/>
        <w:rPr>
          <w:rFonts w:cstheme="minorHAnsi"/>
        </w:rPr>
      </w:pPr>
      <w:r w:rsidRPr="002D2F66">
        <w:rPr>
          <w:rFonts w:cstheme="minorHAnsi"/>
        </w:rPr>
        <w:t xml:space="preserve">Body image is described as how one sees themselves. </w:t>
      </w:r>
      <w:r w:rsidR="00DF618D" w:rsidRPr="002D2F66">
        <w:rPr>
          <w:rFonts w:cstheme="minorHAnsi"/>
        </w:rPr>
        <w:t xml:space="preserve">More specifically, how one may see themselves when they look in the mirror or if they picture themselves in their mind. </w:t>
      </w:r>
      <w:r w:rsidR="00946852" w:rsidRPr="002D2F66">
        <w:rPr>
          <w:rFonts w:cstheme="minorHAnsi"/>
        </w:rPr>
        <w:t xml:space="preserve">This includes what one may think to be true about themselves, how one feels about their physical body including height and weight </w:t>
      </w:r>
      <w:r w:rsidR="00994595" w:rsidRPr="002D2F66">
        <w:rPr>
          <w:rFonts w:cstheme="minorHAnsi"/>
        </w:rPr>
        <w:t xml:space="preserve">and body shape, and how one may experience themselves with movement and control. </w:t>
      </w:r>
      <w:r w:rsidR="00BE407B" w:rsidRPr="002D2F66">
        <w:rPr>
          <w:rFonts w:cstheme="minorHAnsi"/>
        </w:rPr>
        <w:t>This view will determine if one has a positive or negative body image (</w:t>
      </w:r>
      <w:r w:rsidR="00114849" w:rsidRPr="002D2F66">
        <w:rPr>
          <w:rFonts w:cstheme="minorHAnsi"/>
        </w:rPr>
        <w:t xml:space="preserve">Body Image, </w:t>
      </w:r>
      <w:r w:rsidR="005C43E2" w:rsidRPr="002D2F66">
        <w:rPr>
          <w:rFonts w:cstheme="minorHAnsi"/>
        </w:rPr>
        <w:t xml:space="preserve">n.d.). </w:t>
      </w:r>
      <w:r w:rsidR="00A44577" w:rsidRPr="002D2F66">
        <w:rPr>
          <w:rFonts w:cstheme="minorHAnsi"/>
        </w:rPr>
        <w:t xml:space="preserve">Self-concept </w:t>
      </w:r>
      <w:r w:rsidR="00F077ED" w:rsidRPr="002D2F66">
        <w:rPr>
          <w:rFonts w:cstheme="minorHAnsi"/>
        </w:rPr>
        <w:t xml:space="preserve">is how one views themselves. This includes how one may think of themselves or perceives themselves. </w:t>
      </w:r>
      <w:r w:rsidR="00580F8F" w:rsidRPr="002D2F66">
        <w:rPr>
          <w:rFonts w:cstheme="minorHAnsi"/>
        </w:rPr>
        <w:t>Self-concept evolves from personal experiences</w:t>
      </w:r>
      <w:r w:rsidR="002C56B8" w:rsidRPr="002D2F66">
        <w:rPr>
          <w:rFonts w:cstheme="minorHAnsi"/>
        </w:rPr>
        <w:t xml:space="preserve">, reflection of self and interactions with others. </w:t>
      </w:r>
      <w:r w:rsidR="006C37D8" w:rsidRPr="002D2F66">
        <w:rPr>
          <w:rFonts w:cstheme="minorHAnsi"/>
        </w:rPr>
        <w:t>Self-concept affects how one may behave, how they regulate emotionally</w:t>
      </w:r>
      <w:r w:rsidR="00BB7DA5" w:rsidRPr="002D2F66">
        <w:rPr>
          <w:rFonts w:cstheme="minorHAnsi"/>
        </w:rPr>
        <w:t xml:space="preserve">, and how one acts in different relationships. If a person has a negative </w:t>
      </w:r>
      <w:r w:rsidR="00EA353E" w:rsidRPr="002D2F66">
        <w:rPr>
          <w:rFonts w:cstheme="minorHAnsi"/>
        </w:rPr>
        <w:t>self-concept,</w:t>
      </w:r>
      <w:r w:rsidR="00BB7DA5" w:rsidRPr="002D2F66">
        <w:rPr>
          <w:rFonts w:cstheme="minorHAnsi"/>
        </w:rPr>
        <w:t xml:space="preserve"> then they may experience challenges</w:t>
      </w:r>
      <w:r w:rsidR="00340EE5" w:rsidRPr="002D2F66">
        <w:rPr>
          <w:rFonts w:cstheme="minorHAnsi"/>
        </w:rPr>
        <w:t xml:space="preserve"> with emotions and social situations</w:t>
      </w:r>
      <w:r w:rsidR="00EA353E" w:rsidRPr="002D2F66">
        <w:rPr>
          <w:rFonts w:cstheme="minorHAnsi"/>
        </w:rPr>
        <w:t xml:space="preserve">. And on the opposite side, if a person has a positive self-concept it will contribute to their well-being </w:t>
      </w:r>
      <w:r w:rsidR="00A44577" w:rsidRPr="002D2F66">
        <w:rPr>
          <w:rFonts w:cstheme="minorHAnsi"/>
        </w:rPr>
        <w:t>(Mcleod et al., 2023).</w:t>
      </w:r>
    </w:p>
    <w:p w14:paraId="75A1BF4D" w14:textId="77777777" w:rsidR="007E32D1" w:rsidRPr="002D2F66" w:rsidRDefault="007E32D1" w:rsidP="00735A0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 xml:space="preserve">Describe the potential impact of ostomy surgery </w:t>
      </w:r>
      <w:proofErr w:type="gramStart"/>
      <w:r w:rsidRPr="002D2F66">
        <w:rPr>
          <w:rFonts w:cstheme="minorHAnsi"/>
        </w:rPr>
        <w:t>on:</w:t>
      </w:r>
      <w:proofErr w:type="gramEnd"/>
      <w:r w:rsidRPr="002D2F66">
        <w:rPr>
          <w:rFonts w:cstheme="minorHAnsi"/>
        </w:rPr>
        <w:t xml:space="preserve"> body image, self-concept, and sexuality for men and women. </w:t>
      </w:r>
    </w:p>
    <w:p w14:paraId="5934E515" w14:textId="09C29837" w:rsidR="007E32D1" w:rsidRPr="00EC3899" w:rsidRDefault="006B5CA7" w:rsidP="00302077">
      <w:pPr>
        <w:rPr>
          <w:rFonts w:cstheme="minorHAnsi"/>
        </w:rPr>
      </w:pPr>
      <w:r>
        <w:rPr>
          <w:rFonts w:cstheme="minorHAnsi"/>
        </w:rPr>
        <w:t xml:space="preserve">Ostomy surgery can have a huge impact on how </w:t>
      </w:r>
      <w:r w:rsidR="00B876DB">
        <w:rPr>
          <w:rFonts w:cstheme="minorHAnsi"/>
        </w:rPr>
        <w:t>one may see themselves. It is an adjustment to a “new” body. Patients may have seen themselves one way prior to surgery and may have issues with body image, self-concept, and sexuality after surgery.</w:t>
      </w:r>
      <w:r w:rsidR="00A310D1">
        <w:rPr>
          <w:rFonts w:cstheme="minorHAnsi"/>
        </w:rPr>
        <w:t xml:space="preserve"> </w:t>
      </w:r>
      <w:r w:rsidR="00B876DB">
        <w:rPr>
          <w:rFonts w:cstheme="minorHAnsi"/>
        </w:rPr>
        <w:t xml:space="preserve">Body image </w:t>
      </w:r>
      <w:r w:rsidR="00B84C85">
        <w:rPr>
          <w:rFonts w:cstheme="minorHAnsi"/>
        </w:rPr>
        <w:t>is how one perceives themselves physically and how they appear to others</w:t>
      </w:r>
      <w:r w:rsidR="0060084B">
        <w:rPr>
          <w:rFonts w:cstheme="minorHAnsi"/>
        </w:rPr>
        <w:t xml:space="preserve"> </w:t>
      </w:r>
      <w:r w:rsidR="0060084B" w:rsidRPr="00460A89">
        <w:rPr>
          <w:rFonts w:cstheme="minorHAnsi"/>
          <w:color w:val="000000"/>
          <w:shd w:val="clear" w:color="auto" w:fill="FFFFFF"/>
        </w:rPr>
        <w:t>(Ory et al., 2018)</w:t>
      </w:r>
      <w:r w:rsidR="00302077">
        <w:rPr>
          <w:rFonts w:cstheme="minorHAnsi"/>
        </w:rPr>
        <w:t>.</w:t>
      </w:r>
      <w:r w:rsidR="00EC3899">
        <w:rPr>
          <w:rFonts w:cstheme="minorHAnsi"/>
          <w:color w:val="FF0000"/>
        </w:rPr>
        <w:t xml:space="preserve"> </w:t>
      </w:r>
      <w:r w:rsidR="00EC3899">
        <w:rPr>
          <w:rFonts w:cstheme="minorHAnsi"/>
        </w:rPr>
        <w:t xml:space="preserve">Self-concept </w:t>
      </w:r>
      <w:r w:rsidR="00144213">
        <w:rPr>
          <w:rFonts w:cstheme="minorHAnsi"/>
        </w:rPr>
        <w:t>is how one may reflect on themselves and evolves from personal experiences</w:t>
      </w:r>
      <w:r w:rsidR="006407B1">
        <w:rPr>
          <w:rFonts w:cstheme="minorHAnsi"/>
        </w:rPr>
        <w:t xml:space="preserve"> (</w:t>
      </w:r>
      <w:proofErr w:type="spellStart"/>
      <w:r w:rsidR="006407B1">
        <w:rPr>
          <w:rFonts w:cstheme="minorHAnsi"/>
        </w:rPr>
        <w:t>Mcleoad</w:t>
      </w:r>
      <w:proofErr w:type="spellEnd"/>
      <w:r w:rsidR="006407B1">
        <w:rPr>
          <w:rFonts w:cstheme="minorHAnsi"/>
        </w:rPr>
        <w:t xml:space="preserve"> et al., 2023). </w:t>
      </w:r>
      <w:r w:rsidR="00A0537E">
        <w:rPr>
          <w:rFonts w:cstheme="minorHAnsi"/>
        </w:rPr>
        <w:t xml:space="preserve">Sexuality may be closely related </w:t>
      </w:r>
      <w:r w:rsidR="00E03A4C">
        <w:rPr>
          <w:rFonts w:cstheme="minorHAnsi"/>
        </w:rPr>
        <w:t xml:space="preserve">to one’s body image and is </w:t>
      </w:r>
      <w:r w:rsidR="00B42282">
        <w:rPr>
          <w:rFonts w:cstheme="minorHAnsi"/>
        </w:rPr>
        <w:t>a way for one to feel desirable and sexual</w:t>
      </w:r>
      <w:r w:rsidR="00302077">
        <w:rPr>
          <w:rFonts w:cstheme="minorHAnsi"/>
        </w:rPr>
        <w:t xml:space="preserve"> </w:t>
      </w:r>
      <w:r w:rsidR="00302077" w:rsidRPr="00460A89">
        <w:rPr>
          <w:rFonts w:cstheme="minorHAnsi"/>
          <w:color w:val="000000"/>
          <w:shd w:val="clear" w:color="auto" w:fill="FFFFFF"/>
        </w:rPr>
        <w:t>(Ory et al., 2018)</w:t>
      </w:r>
      <w:r w:rsidR="00302077">
        <w:rPr>
          <w:rFonts w:cstheme="minorHAnsi"/>
        </w:rPr>
        <w:t>.</w:t>
      </w:r>
      <w:r w:rsidR="00302077">
        <w:rPr>
          <w:rFonts w:cstheme="minorHAnsi"/>
          <w:color w:val="FF0000"/>
        </w:rPr>
        <w:t xml:space="preserve"> </w:t>
      </w:r>
      <w:r w:rsidR="00302077">
        <w:rPr>
          <w:rFonts w:cstheme="minorHAnsi"/>
        </w:rPr>
        <w:t>All</w:t>
      </w:r>
      <w:r w:rsidR="00B42282">
        <w:rPr>
          <w:rFonts w:cstheme="minorHAnsi"/>
        </w:rPr>
        <w:t xml:space="preserve"> these things (body image, self-concept, and sexuality) can be altered due to ostomy surgery. Ostomy surgery is not just an internal </w:t>
      </w:r>
      <w:r w:rsidR="009F1C2E">
        <w:rPr>
          <w:rFonts w:cstheme="minorHAnsi"/>
        </w:rPr>
        <w:t>surgery but</w:t>
      </w:r>
      <w:r w:rsidR="00B42282">
        <w:rPr>
          <w:rFonts w:cstheme="minorHAnsi"/>
        </w:rPr>
        <w:t xml:space="preserve"> </w:t>
      </w:r>
      <w:r w:rsidR="0037122D">
        <w:rPr>
          <w:rFonts w:cstheme="minorHAnsi"/>
        </w:rPr>
        <w:t xml:space="preserve">results in </w:t>
      </w:r>
      <w:r w:rsidR="00B42282">
        <w:rPr>
          <w:rFonts w:cstheme="minorHAnsi"/>
        </w:rPr>
        <w:t>something</w:t>
      </w:r>
      <w:r w:rsidR="0037122D">
        <w:rPr>
          <w:rFonts w:cstheme="minorHAnsi"/>
        </w:rPr>
        <w:t xml:space="preserve"> that</w:t>
      </w:r>
      <w:r w:rsidR="00B42282">
        <w:rPr>
          <w:rFonts w:cstheme="minorHAnsi"/>
        </w:rPr>
        <w:t xml:space="preserve"> is visible on the outside. </w:t>
      </w:r>
      <w:r w:rsidR="008A4FD6">
        <w:rPr>
          <w:rFonts w:cstheme="minorHAnsi"/>
        </w:rPr>
        <w:t xml:space="preserve">This alone can affect how one views </w:t>
      </w:r>
      <w:r w:rsidR="00660D41">
        <w:rPr>
          <w:rFonts w:cstheme="minorHAnsi"/>
        </w:rPr>
        <w:t>oneself,</w:t>
      </w:r>
      <w:r w:rsidR="008A4FD6">
        <w:rPr>
          <w:rFonts w:cstheme="minorHAnsi"/>
        </w:rPr>
        <w:t xml:space="preserve"> which can in turn alter self-concept and sexuality as </w:t>
      </w:r>
      <w:r w:rsidR="0037122D">
        <w:rPr>
          <w:rFonts w:cstheme="minorHAnsi"/>
        </w:rPr>
        <w:t>all</w:t>
      </w:r>
      <w:r w:rsidR="008A4FD6">
        <w:rPr>
          <w:rFonts w:cstheme="minorHAnsi"/>
        </w:rPr>
        <w:t xml:space="preserve"> these concepts</w:t>
      </w:r>
      <w:r w:rsidR="00660D41">
        <w:rPr>
          <w:rFonts w:cstheme="minorHAnsi"/>
        </w:rPr>
        <w:t xml:space="preserve"> and ideas can be linked to one another. </w:t>
      </w:r>
      <w:r w:rsidR="00231A9F">
        <w:rPr>
          <w:rFonts w:cstheme="minorHAnsi"/>
        </w:rPr>
        <w:t>After ostomy surgery, p</w:t>
      </w:r>
      <w:r w:rsidR="00BE7B1F">
        <w:rPr>
          <w:rFonts w:cstheme="minorHAnsi"/>
        </w:rPr>
        <w:t xml:space="preserve">atients may experience </w:t>
      </w:r>
      <w:r w:rsidR="00BE7B1F">
        <w:rPr>
          <w:rFonts w:cstheme="minorHAnsi"/>
        </w:rPr>
        <w:lastRenderedPageBreak/>
        <w:t>feelings</w:t>
      </w:r>
      <w:r w:rsidR="00972EE5">
        <w:rPr>
          <w:rFonts w:cstheme="minorHAnsi"/>
        </w:rPr>
        <w:t xml:space="preserve"> or reactions that can </w:t>
      </w:r>
      <w:r w:rsidR="001C634D">
        <w:rPr>
          <w:rFonts w:cstheme="minorHAnsi"/>
        </w:rPr>
        <w:t>affect</w:t>
      </w:r>
      <w:r w:rsidR="00972EE5">
        <w:rPr>
          <w:rFonts w:cstheme="minorHAnsi"/>
        </w:rPr>
        <w:t xml:space="preserve"> their sex life and view of themselves. Some of these feelings are</w:t>
      </w:r>
      <w:r w:rsidR="00BE7B1F">
        <w:rPr>
          <w:rFonts w:cstheme="minorHAnsi"/>
        </w:rPr>
        <w:t xml:space="preserve"> of embarrassment,</w:t>
      </w:r>
      <w:r w:rsidR="00972EE5">
        <w:rPr>
          <w:rFonts w:cstheme="minorHAnsi"/>
        </w:rPr>
        <w:t xml:space="preserve"> shame, fear of pain, anger, depression, fear of leaking </w:t>
      </w:r>
      <w:r w:rsidR="007172E9">
        <w:rPr>
          <w:rFonts w:cstheme="minorHAnsi"/>
        </w:rPr>
        <w:t>or rejection. Depending on the type of surgery patients underwen</w:t>
      </w:r>
      <w:r w:rsidR="00EC2FE4">
        <w:rPr>
          <w:rFonts w:cstheme="minorHAnsi"/>
        </w:rPr>
        <w:t xml:space="preserve">t will depend on what physical changes may occur. </w:t>
      </w:r>
      <w:r w:rsidR="009F1C2E">
        <w:rPr>
          <w:rFonts w:cstheme="minorHAnsi"/>
        </w:rPr>
        <w:t>Patients will have to navigate their new normal after surgery</w:t>
      </w:r>
      <w:r w:rsidR="00EC2FE4">
        <w:rPr>
          <w:rFonts w:cstheme="minorHAnsi"/>
        </w:rPr>
        <w:t xml:space="preserve"> and should discuss these concerns with </w:t>
      </w:r>
      <w:r w:rsidR="001C634D">
        <w:rPr>
          <w:rFonts w:cstheme="minorHAnsi"/>
        </w:rPr>
        <w:t>their healthcare team</w:t>
      </w:r>
      <w:r w:rsidR="00302077">
        <w:rPr>
          <w:rFonts w:cstheme="minorHAnsi"/>
        </w:rPr>
        <w:t xml:space="preserve"> </w:t>
      </w:r>
      <w:r w:rsidR="00302077" w:rsidRPr="00460A89">
        <w:rPr>
          <w:rFonts w:cstheme="minorHAnsi"/>
          <w:color w:val="000000"/>
          <w:shd w:val="clear" w:color="auto" w:fill="FFFFFF"/>
        </w:rPr>
        <w:t>(Ory et al., 2018)</w:t>
      </w:r>
      <w:r w:rsidR="00302077">
        <w:rPr>
          <w:rFonts w:cstheme="minorHAnsi"/>
        </w:rPr>
        <w:t>.</w:t>
      </w:r>
    </w:p>
    <w:p w14:paraId="5D45370F" w14:textId="77777777" w:rsidR="007E32D1" w:rsidRPr="002D2F66" w:rsidRDefault="007E32D1" w:rsidP="00735A0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 xml:space="preserve">Identify safe sex considerations that should be taught to the person with an ostomy. </w:t>
      </w:r>
    </w:p>
    <w:p w14:paraId="0FAC9979" w14:textId="1FE9A81C" w:rsidR="007E32D1" w:rsidRPr="002D2F66" w:rsidRDefault="00403E67" w:rsidP="00A47BBA">
      <w:pPr>
        <w:rPr>
          <w:rFonts w:cstheme="minorHAnsi"/>
        </w:rPr>
      </w:pPr>
      <w:r>
        <w:rPr>
          <w:rFonts w:cstheme="minorHAnsi"/>
        </w:rPr>
        <w:t xml:space="preserve">There are some considerations that a person with an ostomy should be aware of for safe sex. </w:t>
      </w:r>
      <w:r w:rsidR="00F113D5">
        <w:rPr>
          <w:rFonts w:cstheme="minorHAnsi"/>
        </w:rPr>
        <w:t>Patient</w:t>
      </w:r>
      <w:r w:rsidR="004C2957">
        <w:rPr>
          <w:rFonts w:cstheme="minorHAnsi"/>
        </w:rPr>
        <w:t>s</w:t>
      </w:r>
      <w:r w:rsidR="00F113D5">
        <w:rPr>
          <w:rFonts w:cstheme="minorHAnsi"/>
        </w:rPr>
        <w:t xml:space="preserve"> should always practice safe sex by utilizing condoms</w:t>
      </w:r>
      <w:r w:rsidR="00482B35">
        <w:rPr>
          <w:rFonts w:cstheme="minorHAnsi"/>
        </w:rPr>
        <w:t xml:space="preserve"> or contraceptives. </w:t>
      </w:r>
      <w:r w:rsidR="00E80ADC">
        <w:rPr>
          <w:rFonts w:cstheme="minorHAnsi"/>
        </w:rPr>
        <w:t>Patients could benefit from ensuring the pouch is emptied prior to sexual activity</w:t>
      </w:r>
      <w:r w:rsidR="00C91E8F">
        <w:rPr>
          <w:rFonts w:cstheme="minorHAnsi"/>
        </w:rPr>
        <w:t xml:space="preserve"> and</w:t>
      </w:r>
      <w:r w:rsidR="00E80ADC">
        <w:rPr>
          <w:rFonts w:cstheme="minorHAnsi"/>
        </w:rPr>
        <w:t xml:space="preserve"> ensure the appliance is clean and secure. </w:t>
      </w:r>
      <w:r w:rsidR="002B2A24">
        <w:rPr>
          <w:rFonts w:cstheme="minorHAnsi"/>
        </w:rPr>
        <w:t xml:space="preserve">The appliance may be extra secured with </w:t>
      </w:r>
      <w:r w:rsidR="00305ECC">
        <w:rPr>
          <w:rFonts w:cstheme="minorHAnsi"/>
        </w:rPr>
        <w:t>tape to the edges</w:t>
      </w:r>
      <w:r w:rsidR="008E1E5E">
        <w:rPr>
          <w:rFonts w:cstheme="minorHAnsi"/>
        </w:rPr>
        <w:t xml:space="preserve"> </w:t>
      </w:r>
      <w:r w:rsidR="008E1E5E" w:rsidRPr="00460A89">
        <w:rPr>
          <w:rFonts w:cstheme="minorHAnsi"/>
          <w:color w:val="000000"/>
          <w:shd w:val="clear" w:color="auto" w:fill="FFFFFF"/>
        </w:rPr>
        <w:t>(Ory et al., 2018)</w:t>
      </w:r>
      <w:r w:rsidR="008E1E5E">
        <w:rPr>
          <w:rFonts w:cstheme="minorHAnsi"/>
        </w:rPr>
        <w:t xml:space="preserve">. </w:t>
      </w:r>
      <w:r w:rsidR="00F56219">
        <w:rPr>
          <w:rFonts w:cstheme="minorHAnsi"/>
        </w:rPr>
        <w:t xml:space="preserve">Patients should begin their sexual relations slowly and gently after ostomy surgery especially depending on what type of surgery took place. </w:t>
      </w:r>
      <w:r w:rsidR="00A47BBA">
        <w:rPr>
          <w:rFonts w:cstheme="minorHAnsi"/>
        </w:rPr>
        <w:t xml:space="preserve">Patients may have more tenderness and it is important that </w:t>
      </w:r>
      <w:r w:rsidR="0071177B">
        <w:rPr>
          <w:rFonts w:cstheme="minorHAnsi"/>
        </w:rPr>
        <w:t xml:space="preserve">they take things easy and slow. It is important that patients only change things if they want to, </w:t>
      </w:r>
      <w:r w:rsidR="00F30C39">
        <w:rPr>
          <w:rFonts w:cstheme="minorHAnsi"/>
        </w:rPr>
        <w:t xml:space="preserve">patients with an ostomy can have sex in generally the same positions as one without an ostomy. </w:t>
      </w:r>
      <w:r w:rsidR="009A7CEE">
        <w:rPr>
          <w:rFonts w:cstheme="minorHAnsi"/>
        </w:rPr>
        <w:t>Patients should ensure that the ostomy appliance does not get in the way during sexual relations</w:t>
      </w:r>
      <w:r w:rsidR="00146609">
        <w:rPr>
          <w:rFonts w:cstheme="minorHAnsi"/>
        </w:rPr>
        <w:t xml:space="preserve">. Using a pouch cover may prevent rubbing on the patient and their partner during sex. </w:t>
      </w:r>
      <w:r w:rsidR="009249E3">
        <w:rPr>
          <w:rFonts w:cstheme="minorHAnsi"/>
        </w:rPr>
        <w:t>A type of pouch cove</w:t>
      </w:r>
      <w:r w:rsidR="00954C76">
        <w:rPr>
          <w:rFonts w:cstheme="minorHAnsi"/>
        </w:rPr>
        <w:t xml:space="preserve">r, ostomy </w:t>
      </w:r>
      <w:r w:rsidR="00023BE8">
        <w:rPr>
          <w:rFonts w:cstheme="minorHAnsi"/>
        </w:rPr>
        <w:t>wrap,</w:t>
      </w:r>
      <w:r w:rsidR="00954C76">
        <w:rPr>
          <w:rFonts w:cstheme="minorHAnsi"/>
        </w:rPr>
        <w:t xml:space="preserve"> or specific underwear </w:t>
      </w:r>
      <w:r w:rsidR="009249E3">
        <w:rPr>
          <w:rFonts w:cstheme="minorHAnsi"/>
        </w:rPr>
        <w:t xml:space="preserve">may </w:t>
      </w:r>
      <w:r w:rsidR="00572AAB">
        <w:rPr>
          <w:rFonts w:cstheme="minorHAnsi"/>
        </w:rPr>
        <w:t>conceal the pouch contents if there is a transparent pouch.</w:t>
      </w:r>
      <w:r w:rsidR="00FE35DF">
        <w:rPr>
          <w:rFonts w:cstheme="minorHAnsi"/>
        </w:rPr>
        <w:t xml:space="preserve"> If patients are able, they may even use a different type of pouch entirely during sex that is smaller </w:t>
      </w:r>
      <w:r w:rsidR="00023BE8">
        <w:rPr>
          <w:rFonts w:cstheme="minorHAnsi"/>
        </w:rPr>
        <w:t>and more discreet. And very importantly, patient should never have sex through their stoma (</w:t>
      </w:r>
      <w:r w:rsidR="00132AE6">
        <w:t>Hollister, n.d.)</w:t>
      </w:r>
      <w:r w:rsidR="00023BE8">
        <w:t>.</w:t>
      </w:r>
    </w:p>
    <w:p w14:paraId="6B887FC9" w14:textId="77777777" w:rsidR="007E32D1" w:rsidRPr="002D2F66" w:rsidRDefault="007E32D1" w:rsidP="007E32D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 xml:space="preserve">Describe how each of the following categories can help to promote a healthy body image for the person with an ostomy. Be sure to include at least one example for each category. </w:t>
      </w:r>
    </w:p>
    <w:p w14:paraId="6E9B3123" w14:textId="77777777" w:rsidR="007E32D1" w:rsidRPr="002D2F66" w:rsidRDefault="007E32D1" w:rsidP="007E32D1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 xml:space="preserve">Undergarments </w:t>
      </w:r>
    </w:p>
    <w:p w14:paraId="52B8F3F0" w14:textId="77777777" w:rsidR="007E32D1" w:rsidRPr="002D2F66" w:rsidRDefault="007E32D1" w:rsidP="007E32D1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>Odor control</w:t>
      </w:r>
    </w:p>
    <w:p w14:paraId="1C733181" w14:textId="77777777" w:rsidR="007E32D1" w:rsidRDefault="007E32D1" w:rsidP="007E32D1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t xml:space="preserve">Pouch modifications </w:t>
      </w:r>
    </w:p>
    <w:p w14:paraId="0A3EEA3F" w14:textId="12CFBEBF" w:rsidR="007E32D1" w:rsidRPr="002D2F66" w:rsidRDefault="004A5568" w:rsidP="007E32D1">
      <w:pPr>
        <w:jc w:val="both"/>
        <w:rPr>
          <w:rFonts w:cstheme="minorHAnsi"/>
        </w:rPr>
      </w:pPr>
      <w:r>
        <w:rPr>
          <w:rFonts w:cstheme="minorHAnsi"/>
        </w:rPr>
        <w:t xml:space="preserve">There are some alterations that patients with an ostomy may utilize to boost their confidence during sex. </w:t>
      </w:r>
      <w:r w:rsidR="009A09FC">
        <w:rPr>
          <w:rFonts w:cstheme="minorHAnsi"/>
        </w:rPr>
        <w:t>There are different types of undergarments patients may use during intercourse. Some examples of these may be crotchless underwe</w:t>
      </w:r>
      <w:r w:rsidR="00E532DF">
        <w:rPr>
          <w:rFonts w:cstheme="minorHAnsi"/>
        </w:rPr>
        <w:t>a</w:t>
      </w:r>
      <w:r w:rsidR="009A09FC">
        <w:rPr>
          <w:rFonts w:cstheme="minorHAnsi"/>
        </w:rPr>
        <w:t xml:space="preserve">r, </w:t>
      </w:r>
      <w:r w:rsidR="00E27E7C">
        <w:rPr>
          <w:rFonts w:cstheme="minorHAnsi"/>
        </w:rPr>
        <w:t xml:space="preserve">lingerie, high-waisted underwear, </w:t>
      </w:r>
      <w:r w:rsidR="0079636E">
        <w:rPr>
          <w:rFonts w:cstheme="minorHAnsi"/>
        </w:rPr>
        <w:t>short slip or nightie, or an ostomy wrap</w:t>
      </w:r>
      <w:r w:rsidR="00743FC9">
        <w:rPr>
          <w:rFonts w:cstheme="minorHAnsi"/>
        </w:rPr>
        <w:t xml:space="preserve"> </w:t>
      </w:r>
      <w:r w:rsidR="00743FC9" w:rsidRPr="00460A89">
        <w:rPr>
          <w:rFonts w:cstheme="minorHAnsi"/>
          <w:color w:val="000000"/>
          <w:shd w:val="clear" w:color="auto" w:fill="FFFFFF"/>
        </w:rPr>
        <w:t>(Ory et al., 2018)</w:t>
      </w:r>
      <w:r w:rsidR="00743FC9">
        <w:rPr>
          <w:rFonts w:cstheme="minorHAnsi"/>
        </w:rPr>
        <w:t xml:space="preserve">. Patients may also have concerns </w:t>
      </w:r>
      <w:r w:rsidR="00DA79F2">
        <w:rPr>
          <w:rFonts w:cstheme="minorHAnsi"/>
        </w:rPr>
        <w:t>about</w:t>
      </w:r>
      <w:r w:rsidR="00743FC9">
        <w:rPr>
          <w:rFonts w:cstheme="minorHAnsi"/>
        </w:rPr>
        <w:t xml:space="preserve"> odor or gas control. </w:t>
      </w:r>
      <w:r w:rsidR="000D49C2">
        <w:rPr>
          <w:rFonts w:cstheme="minorHAnsi"/>
        </w:rPr>
        <w:t xml:space="preserve">Patients can use over-the-counter </w:t>
      </w:r>
      <w:r w:rsidR="0094356E">
        <w:rPr>
          <w:rFonts w:cstheme="minorHAnsi"/>
        </w:rPr>
        <w:t>gas reduction medications</w:t>
      </w:r>
      <w:r w:rsidR="002B1DCF">
        <w:rPr>
          <w:rFonts w:cstheme="minorHAnsi"/>
        </w:rPr>
        <w:t xml:space="preserve"> or</w:t>
      </w:r>
      <w:r w:rsidR="0094356E">
        <w:rPr>
          <w:rFonts w:cstheme="minorHAnsi"/>
        </w:rPr>
        <w:t xml:space="preserve"> dietary supplements </w:t>
      </w:r>
      <w:r w:rsidR="002B1DCF">
        <w:rPr>
          <w:rFonts w:cstheme="minorHAnsi"/>
        </w:rPr>
        <w:t xml:space="preserve">that can break down sugars. </w:t>
      </w:r>
      <w:r w:rsidR="008E617B">
        <w:rPr>
          <w:rFonts w:cstheme="minorHAnsi"/>
        </w:rPr>
        <w:t xml:space="preserve">Patients should be educated to reduce intake of gassy foods like soda, beer, beans, or cabbage if they know they will be sexually active. </w:t>
      </w:r>
      <w:r w:rsidR="000B749F">
        <w:rPr>
          <w:rFonts w:cstheme="minorHAnsi"/>
        </w:rPr>
        <w:t xml:space="preserve">Some pouches may allow a filter which can assist in keeping the pouch flat and avoid “burping” the pouch and deodorize </w:t>
      </w:r>
      <w:r w:rsidR="000B749F" w:rsidRPr="00460A89">
        <w:rPr>
          <w:rFonts w:cstheme="minorHAnsi"/>
          <w:color w:val="000000"/>
          <w:shd w:val="clear" w:color="auto" w:fill="FFFFFF"/>
        </w:rPr>
        <w:t>(Ory et al., 2018)</w:t>
      </w:r>
      <w:r w:rsidR="000B749F">
        <w:rPr>
          <w:rFonts w:cstheme="minorHAnsi"/>
        </w:rPr>
        <w:t xml:space="preserve">. </w:t>
      </w:r>
      <w:r w:rsidR="00BF6596">
        <w:rPr>
          <w:rFonts w:cstheme="minorHAnsi"/>
        </w:rPr>
        <w:t xml:space="preserve">To reduce odor, </w:t>
      </w:r>
      <w:r w:rsidR="00C77161">
        <w:rPr>
          <w:rFonts w:cstheme="minorHAnsi"/>
        </w:rPr>
        <w:t>patients</w:t>
      </w:r>
      <w:r w:rsidR="00BF6596">
        <w:rPr>
          <w:rFonts w:cstheme="minorHAnsi"/>
        </w:rPr>
        <w:t xml:space="preserve"> may use deodorants that can be placed within the pouch. </w:t>
      </w:r>
      <w:r w:rsidR="00FD05C3">
        <w:rPr>
          <w:rFonts w:cstheme="minorHAnsi"/>
        </w:rPr>
        <w:t xml:space="preserve">There should be no odor when the pouch is sealed, but upon emptying the pouch there can be odor. These in-pouch odor eliminators </w:t>
      </w:r>
      <w:r w:rsidR="001A2CAA">
        <w:rPr>
          <w:rFonts w:cstheme="minorHAnsi"/>
        </w:rPr>
        <w:t xml:space="preserve">can be utilized when emptying or changing the pouch system and they can be liquid </w:t>
      </w:r>
      <w:r w:rsidR="003B2A08">
        <w:rPr>
          <w:rFonts w:cstheme="minorHAnsi"/>
        </w:rPr>
        <w:t>drops or lubricating solution. Patients should be aware that using these items may result in discoloration of the stool and this is a normal response</w:t>
      </w:r>
      <w:r w:rsidR="00183913">
        <w:rPr>
          <w:rFonts w:cstheme="minorHAnsi"/>
        </w:rPr>
        <w:t xml:space="preserve"> (Colwell &amp; Hudson, 2022). </w:t>
      </w:r>
      <w:r w:rsidR="00C77161">
        <w:rPr>
          <w:rFonts w:cstheme="minorHAnsi"/>
        </w:rPr>
        <w:t xml:space="preserve"> </w:t>
      </w:r>
      <w:r w:rsidR="00342AB9">
        <w:rPr>
          <w:rFonts w:cstheme="minorHAnsi"/>
        </w:rPr>
        <w:t xml:space="preserve">Pouch modifications can be made for those with an ostomy. Patients may want to use a “passion pouch”. </w:t>
      </w:r>
      <w:r w:rsidR="00EA0AE0">
        <w:rPr>
          <w:rFonts w:cstheme="minorHAnsi"/>
        </w:rPr>
        <w:t xml:space="preserve">These pouches come in smaller sizes, are less bulky and shorter than regular ostomy pouches. </w:t>
      </w:r>
      <w:r w:rsidR="00DA79F2">
        <w:rPr>
          <w:rFonts w:cstheme="minorHAnsi"/>
        </w:rPr>
        <w:t xml:space="preserve">They have a closed-end and </w:t>
      </w:r>
      <w:r w:rsidR="00C91E8F">
        <w:rPr>
          <w:rFonts w:cstheme="minorHAnsi"/>
        </w:rPr>
        <w:t>are</w:t>
      </w:r>
      <w:r w:rsidR="00DA79F2">
        <w:rPr>
          <w:rFonts w:cstheme="minorHAnsi"/>
        </w:rPr>
        <w:t xml:space="preserve"> disposable </w:t>
      </w:r>
      <w:r w:rsidR="00DA79F2" w:rsidRPr="00460A89">
        <w:rPr>
          <w:rFonts w:cstheme="minorHAnsi"/>
          <w:color w:val="000000"/>
          <w:shd w:val="clear" w:color="auto" w:fill="FFFFFF"/>
        </w:rPr>
        <w:t>(Ory et al., 2018)</w:t>
      </w:r>
      <w:r w:rsidR="00DA79F2">
        <w:rPr>
          <w:rFonts w:cstheme="minorHAnsi"/>
        </w:rPr>
        <w:t>.</w:t>
      </w:r>
    </w:p>
    <w:p w14:paraId="51C62F51" w14:textId="339A358F" w:rsidR="00F12F44" w:rsidRDefault="007E32D1" w:rsidP="007E32D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lastRenderedPageBreak/>
        <w:t xml:space="preserve">Explain how the PLISSIT model guides the conversation on sexual intimacy. </w:t>
      </w:r>
    </w:p>
    <w:p w14:paraId="22F3C6E0" w14:textId="54059CE0" w:rsidR="007E32D1" w:rsidRDefault="009C05F4" w:rsidP="007E32D1">
      <w:pPr>
        <w:jc w:val="both"/>
      </w:pPr>
      <w:r>
        <w:t>The PLISSIT model stands for permission,</w:t>
      </w:r>
      <w:r w:rsidR="002D758A">
        <w:t xml:space="preserve"> understanding</w:t>
      </w:r>
      <w:r w:rsidR="002C10D7">
        <w:t>-</w:t>
      </w:r>
      <w:r>
        <w:t xml:space="preserve">limited information, specific </w:t>
      </w:r>
      <w:r w:rsidR="002C10D7">
        <w:t>suggestions</w:t>
      </w:r>
      <w:r>
        <w:t>, and intensive therapy.</w:t>
      </w:r>
      <w:r w:rsidR="002C10D7">
        <w:t xml:space="preserve"> </w:t>
      </w:r>
      <w:r w:rsidR="00117EA9">
        <w:t xml:space="preserve">This model provides four different areas </w:t>
      </w:r>
      <w:r w:rsidR="00677A68">
        <w:t xml:space="preserve">that the nurse can use to respond </w:t>
      </w:r>
      <w:r w:rsidR="002E4D1F">
        <w:t xml:space="preserve">to issues of sexual intimacy concerns. </w:t>
      </w:r>
      <w:r w:rsidR="002530EE">
        <w:t xml:space="preserve">The WOC nurse is a useful tool for this model and </w:t>
      </w:r>
      <w:r w:rsidR="002558AE">
        <w:t xml:space="preserve">should be able to function within the permission and limited information phases. </w:t>
      </w:r>
      <w:r w:rsidR="00C64509">
        <w:t xml:space="preserve">Permission is the beginning phase and involves </w:t>
      </w:r>
      <w:r w:rsidR="00693F51">
        <w:t>exploring what concerns the patient may have. This gives the patient the opportunity to express their concerns. Active listening</w:t>
      </w:r>
      <w:r w:rsidR="00472B3C">
        <w:t xml:space="preserve"> and sensitivity</w:t>
      </w:r>
      <w:r w:rsidR="00693F51">
        <w:t xml:space="preserve"> by the healthcare personnel </w:t>
      </w:r>
      <w:r w:rsidR="00472B3C">
        <w:t xml:space="preserve">is vital so the patient feels comfortable with sharing their questions or concerns. </w:t>
      </w:r>
      <w:r w:rsidR="00FD6D95">
        <w:t xml:space="preserve">Open-ended questions should be used to allow for continuation of conversation. </w:t>
      </w:r>
      <w:r w:rsidR="00A70F27">
        <w:t>Understanding-limited information involves assessing the issues or difficulties present</w:t>
      </w:r>
      <w:r w:rsidR="009A0E4B">
        <w:t xml:space="preserve">. This should include sexual history, goals and problem identification, and what expectations the patient may have. This can then evolve into </w:t>
      </w:r>
      <w:r w:rsidR="00F217BE">
        <w:t xml:space="preserve">a plan of care which should increase </w:t>
      </w:r>
      <w:r w:rsidR="002558AE">
        <w:t>patients’</w:t>
      </w:r>
      <w:r w:rsidR="00F217BE">
        <w:t xml:space="preserve"> knowledge</w:t>
      </w:r>
      <w:r w:rsidR="00DF2CB2">
        <w:t xml:space="preserve"> of side effects of treatment, sexuality, and emotional changes.</w:t>
      </w:r>
      <w:r w:rsidR="00B523A3">
        <w:t xml:space="preserve"> </w:t>
      </w:r>
      <w:r w:rsidR="002558AE">
        <w:t xml:space="preserve">Specific suggestion involves </w:t>
      </w:r>
      <w:r w:rsidR="00FF291E">
        <w:t xml:space="preserve">giving the patient information and reassurance on sexuality. This can include giving the patient resources </w:t>
      </w:r>
      <w:r w:rsidR="006227BD">
        <w:t>to utilize via</w:t>
      </w:r>
      <w:r w:rsidR="0009333B">
        <w:t xml:space="preserve"> websites. These websites include the UOAA </w:t>
      </w:r>
      <w:r w:rsidR="00E936B2">
        <w:t xml:space="preserve">and ostomy supply catalogs. Within the intensive therapy phase, WOC nurses will assess </w:t>
      </w:r>
      <w:r w:rsidR="00DA0AA3">
        <w:t>if the patient requires intervention with any psychological, interpersonal, or physica</w:t>
      </w:r>
      <w:r w:rsidR="005F57B3">
        <w:t>l needs. At this stage, the WOC nurse may need to refer the patient to different specialists (</w:t>
      </w:r>
      <w:r w:rsidR="00255407">
        <w:t xml:space="preserve">Carmel &amp; </w:t>
      </w:r>
      <w:proofErr w:type="spellStart"/>
      <w:r w:rsidR="00255407">
        <w:t>Scardillo</w:t>
      </w:r>
      <w:proofErr w:type="spellEnd"/>
      <w:r w:rsidR="00255407">
        <w:t xml:space="preserve">, 2022). </w:t>
      </w:r>
    </w:p>
    <w:p w14:paraId="6310807E" w14:textId="77777777" w:rsidR="00B523A3" w:rsidRDefault="00B523A3" w:rsidP="007E32D1">
      <w:pPr>
        <w:jc w:val="both"/>
      </w:pPr>
    </w:p>
    <w:p w14:paraId="21B3C9C7" w14:textId="77777777" w:rsidR="00B523A3" w:rsidRDefault="00B523A3" w:rsidP="007E32D1">
      <w:pPr>
        <w:jc w:val="both"/>
      </w:pPr>
    </w:p>
    <w:p w14:paraId="75F90A6B" w14:textId="77777777" w:rsidR="00B523A3" w:rsidRDefault="00B523A3" w:rsidP="007E32D1">
      <w:pPr>
        <w:jc w:val="both"/>
      </w:pPr>
    </w:p>
    <w:p w14:paraId="377242ED" w14:textId="77777777" w:rsidR="00B523A3" w:rsidRDefault="00B523A3" w:rsidP="007E32D1">
      <w:pPr>
        <w:jc w:val="both"/>
      </w:pPr>
    </w:p>
    <w:p w14:paraId="489EFF47" w14:textId="77777777" w:rsidR="00B523A3" w:rsidRDefault="00B523A3" w:rsidP="007E32D1">
      <w:pPr>
        <w:jc w:val="both"/>
      </w:pPr>
    </w:p>
    <w:p w14:paraId="15F6084E" w14:textId="77777777" w:rsidR="00B523A3" w:rsidRDefault="00B523A3" w:rsidP="007E32D1">
      <w:pPr>
        <w:jc w:val="both"/>
      </w:pPr>
    </w:p>
    <w:p w14:paraId="6C583606" w14:textId="77777777" w:rsidR="00B523A3" w:rsidRDefault="00B523A3" w:rsidP="007E32D1">
      <w:pPr>
        <w:jc w:val="both"/>
      </w:pPr>
    </w:p>
    <w:p w14:paraId="79754078" w14:textId="77777777" w:rsidR="00B523A3" w:rsidRDefault="00B523A3" w:rsidP="007E32D1">
      <w:pPr>
        <w:jc w:val="both"/>
      </w:pPr>
    </w:p>
    <w:p w14:paraId="3896D9F8" w14:textId="77777777" w:rsidR="00B523A3" w:rsidRDefault="00B523A3" w:rsidP="007E32D1">
      <w:pPr>
        <w:jc w:val="both"/>
      </w:pPr>
    </w:p>
    <w:p w14:paraId="19C9D926" w14:textId="77777777" w:rsidR="00B523A3" w:rsidRDefault="00B523A3" w:rsidP="007E32D1">
      <w:pPr>
        <w:jc w:val="both"/>
      </w:pPr>
    </w:p>
    <w:p w14:paraId="5A06F036" w14:textId="77777777" w:rsidR="00B523A3" w:rsidRDefault="00B523A3" w:rsidP="007E32D1">
      <w:pPr>
        <w:jc w:val="both"/>
      </w:pPr>
    </w:p>
    <w:p w14:paraId="6E613D4F" w14:textId="77777777" w:rsidR="00B523A3" w:rsidRPr="00C91E8F" w:rsidRDefault="00B523A3" w:rsidP="007E32D1">
      <w:pPr>
        <w:jc w:val="both"/>
      </w:pPr>
    </w:p>
    <w:p w14:paraId="7D2133AC" w14:textId="77777777" w:rsidR="007E32D1" w:rsidRPr="002D2F66" w:rsidRDefault="007E32D1" w:rsidP="007E32D1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2D2F66">
        <w:rPr>
          <w:rFonts w:cstheme="minorHAnsi"/>
        </w:rPr>
        <w:lastRenderedPageBreak/>
        <w:t xml:space="preserve">List the references used to develop and cite this assignment. </w:t>
      </w:r>
    </w:p>
    <w:p w14:paraId="7DC84571" w14:textId="77777777" w:rsidR="00B40FA0" w:rsidRPr="002D2F66" w:rsidRDefault="007E32D1" w:rsidP="007E32D1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2D2F66">
        <w:rPr>
          <w:rFonts w:cstheme="minorHAnsi"/>
          <w:i/>
        </w:rPr>
        <w:t xml:space="preserve">See the course syllabus for specific reference requirements. </w:t>
      </w:r>
    </w:p>
    <w:p w14:paraId="53BB71BB" w14:textId="77777777" w:rsidR="003461B4" w:rsidRPr="002D2F66" w:rsidRDefault="003461B4" w:rsidP="003461B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2F66">
        <w:rPr>
          <w:rFonts w:asciiTheme="minorHAnsi" w:hAnsiTheme="minorHAnsi" w:cstheme="minorHAnsi"/>
          <w:i/>
          <w:iCs/>
          <w:sz w:val="22"/>
          <w:szCs w:val="22"/>
        </w:rPr>
        <w:t>Body Image</w:t>
      </w:r>
      <w:r w:rsidRPr="002D2F66">
        <w:rPr>
          <w:rFonts w:asciiTheme="minorHAnsi" w:hAnsiTheme="minorHAnsi" w:cstheme="minorHAnsi"/>
          <w:sz w:val="22"/>
          <w:szCs w:val="22"/>
        </w:rPr>
        <w:t xml:space="preserve">. National eating disorders. (n.d.). https://www.nationaleatingdisorders.org/body-image-0 </w:t>
      </w:r>
    </w:p>
    <w:p w14:paraId="34FACBC4" w14:textId="77777777" w:rsidR="00B523A3" w:rsidRDefault="00B523A3" w:rsidP="00B523A3">
      <w:pPr>
        <w:rPr>
          <w:rFonts w:cstheme="minorHAnsi"/>
        </w:rPr>
      </w:pPr>
      <w:r w:rsidRPr="004F0313">
        <w:rPr>
          <w:rFonts w:cstheme="minorHAnsi"/>
        </w:rPr>
        <w:t>C</w:t>
      </w:r>
      <w:r>
        <w:rPr>
          <w:rFonts w:cstheme="minorHAnsi"/>
        </w:rPr>
        <w:t>armel</w:t>
      </w:r>
      <w:r w:rsidRPr="004F0313">
        <w:rPr>
          <w:rFonts w:cstheme="minorHAnsi"/>
        </w:rPr>
        <w:t xml:space="preserve">, J., &amp; </w:t>
      </w:r>
      <w:proofErr w:type="spellStart"/>
      <w:r>
        <w:rPr>
          <w:rFonts w:cstheme="minorHAnsi"/>
        </w:rPr>
        <w:t>Scardillo</w:t>
      </w:r>
      <w:proofErr w:type="spellEnd"/>
      <w:r w:rsidRPr="004F0313">
        <w:rPr>
          <w:rFonts w:cstheme="minorHAnsi"/>
        </w:rPr>
        <w:t xml:space="preserve">, </w:t>
      </w:r>
      <w:r>
        <w:rPr>
          <w:rFonts w:cstheme="minorHAnsi"/>
        </w:rPr>
        <w:t>J</w:t>
      </w:r>
      <w:r w:rsidRPr="004F0313">
        <w:rPr>
          <w:rFonts w:cstheme="minorHAnsi"/>
        </w:rPr>
        <w:t xml:space="preserve">. (2022). </w:t>
      </w:r>
      <w:r>
        <w:rPr>
          <w:rFonts w:cstheme="minorHAnsi"/>
        </w:rPr>
        <w:t>Adaptations, rehabilitation, and long-term care management issues</w:t>
      </w:r>
      <w:r w:rsidRPr="004F0313">
        <w:rPr>
          <w:rFonts w:cstheme="minorHAnsi"/>
        </w:rPr>
        <w:t xml:space="preserve">. In J. Carmel, J. Colwell, &amp; M.T. Goldberg </w:t>
      </w:r>
    </w:p>
    <w:p w14:paraId="1467F6FF" w14:textId="77777777" w:rsidR="00B523A3" w:rsidRPr="00F861CD" w:rsidRDefault="00B523A3" w:rsidP="00B523A3">
      <w:pPr>
        <w:ind w:firstLine="720"/>
        <w:rPr>
          <w:rFonts w:cstheme="minorHAnsi"/>
          <w:i/>
          <w:iCs/>
        </w:rPr>
      </w:pPr>
      <w:r w:rsidRPr="004F0313">
        <w:rPr>
          <w:rFonts w:cstheme="minorHAnsi"/>
        </w:rPr>
        <w:t xml:space="preserve">(Eds.), </w:t>
      </w:r>
      <w:r w:rsidRPr="004F0313">
        <w:rPr>
          <w:rFonts w:cstheme="minorHAnsi"/>
          <w:i/>
          <w:iCs/>
        </w:rPr>
        <w:t>Wound, Ostomy, and Continence Nurses Society core curriculum: Ostomy management</w:t>
      </w:r>
      <w:r w:rsidRPr="004F0313">
        <w:rPr>
          <w:rFonts w:cstheme="minorHAnsi"/>
        </w:rPr>
        <w:t xml:space="preserve"> (2nd ed., pp. 172-188). Wolters Kluwer. </w:t>
      </w:r>
    </w:p>
    <w:p w14:paraId="4E37DAF0" w14:textId="77777777" w:rsidR="00B523A3" w:rsidRPr="004F0313" w:rsidRDefault="00B523A3" w:rsidP="00B523A3">
      <w:pPr>
        <w:rPr>
          <w:rFonts w:cstheme="minorHAnsi"/>
          <w:i/>
          <w:iCs/>
        </w:rPr>
      </w:pPr>
      <w:r w:rsidRPr="004F0313">
        <w:rPr>
          <w:rFonts w:cstheme="minorHAnsi"/>
        </w:rPr>
        <w:t xml:space="preserve">Colwell, J., &amp; Hudson, K. (2022). Selection of pouching system. In J. Carmel, J. Colwell, &amp; M.T. Goldberg (Eds.), </w:t>
      </w:r>
      <w:r w:rsidRPr="004F0313">
        <w:rPr>
          <w:rFonts w:cstheme="minorHAnsi"/>
          <w:i/>
          <w:iCs/>
        </w:rPr>
        <w:t xml:space="preserve">Wound, Ostomy, and Continence </w:t>
      </w:r>
    </w:p>
    <w:p w14:paraId="4FD6F816" w14:textId="77777777" w:rsidR="00B523A3" w:rsidRPr="004300DF" w:rsidRDefault="00B523A3" w:rsidP="00B523A3">
      <w:pPr>
        <w:ind w:firstLine="720"/>
        <w:rPr>
          <w:rFonts w:cstheme="minorHAnsi"/>
        </w:rPr>
      </w:pPr>
      <w:r w:rsidRPr="004F0313">
        <w:rPr>
          <w:rFonts w:cstheme="minorHAnsi"/>
          <w:i/>
          <w:iCs/>
        </w:rPr>
        <w:t>Nurses Society core curriculum: Ostomy management</w:t>
      </w:r>
      <w:r w:rsidRPr="004F0313">
        <w:rPr>
          <w:rFonts w:cstheme="minorHAnsi"/>
        </w:rPr>
        <w:t xml:space="preserve"> (2nd ed., pp. 172-188). Wolters Kluwer. </w:t>
      </w:r>
    </w:p>
    <w:p w14:paraId="62017FEB" w14:textId="77777777" w:rsidR="00B523A3" w:rsidRDefault="00B523A3" w:rsidP="00B523A3">
      <w:pPr>
        <w:pStyle w:val="NormalWeb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32AE6">
        <w:rPr>
          <w:rFonts w:asciiTheme="minorHAnsi" w:hAnsiTheme="minorHAnsi" w:cstheme="minorHAnsi"/>
          <w:sz w:val="22"/>
          <w:szCs w:val="22"/>
        </w:rPr>
        <w:t xml:space="preserve">Hollister. (n.d.). </w:t>
      </w:r>
      <w:r w:rsidRPr="00132AE6">
        <w:rPr>
          <w:rFonts w:asciiTheme="minorHAnsi" w:hAnsiTheme="minorHAnsi" w:cstheme="minorHAnsi"/>
          <w:i/>
          <w:iCs/>
          <w:sz w:val="22"/>
          <w:szCs w:val="22"/>
        </w:rPr>
        <w:t>Sex after ostomy surgery: Do’s and don’ts</w:t>
      </w:r>
      <w:r w:rsidRPr="00132AE6">
        <w:rPr>
          <w:rFonts w:asciiTheme="minorHAnsi" w:hAnsiTheme="minorHAnsi" w:cstheme="minorHAnsi"/>
          <w:sz w:val="22"/>
          <w:szCs w:val="22"/>
        </w:rPr>
        <w:t xml:space="preserve">. Sex after ostomy surgery: Do’s and Don’ts. </w:t>
      </w:r>
    </w:p>
    <w:p w14:paraId="6E95558D" w14:textId="77777777" w:rsidR="00B523A3" w:rsidRDefault="00B523A3" w:rsidP="00B523A3">
      <w:pPr>
        <w:pStyle w:val="NormalWeb"/>
        <w:ind w:left="567"/>
        <w:rPr>
          <w:rFonts w:asciiTheme="minorHAnsi" w:hAnsiTheme="minorHAnsi" w:cstheme="minorHAnsi"/>
          <w:sz w:val="22"/>
          <w:szCs w:val="22"/>
        </w:rPr>
      </w:pPr>
      <w:r w:rsidRPr="00132AE6">
        <w:rPr>
          <w:rFonts w:asciiTheme="minorHAnsi" w:hAnsiTheme="minorHAnsi" w:cstheme="minorHAnsi"/>
          <w:sz w:val="22"/>
          <w:szCs w:val="22"/>
        </w:rPr>
        <w:t xml:space="preserve">https://www.hollister.com/en/ostomycare/ostomylearningcenter/livingwithanostomy/sexafterostomysurgerydosanddonts# </w:t>
      </w:r>
    </w:p>
    <w:p w14:paraId="4CC57DB7" w14:textId="77777777" w:rsidR="00B523A3" w:rsidRDefault="00B523A3" w:rsidP="00B523A3">
      <w:pPr>
        <w:jc w:val="both"/>
        <w:rPr>
          <w:rFonts w:cstheme="minorHAnsi"/>
          <w:i/>
          <w:iCs/>
          <w:color w:val="212121"/>
          <w:shd w:val="clear" w:color="auto" w:fill="FFFFFF"/>
        </w:rPr>
      </w:pPr>
      <w:proofErr w:type="spellStart"/>
      <w:r w:rsidRPr="002D2F66">
        <w:rPr>
          <w:rFonts w:cstheme="minorHAnsi"/>
          <w:color w:val="212121"/>
          <w:shd w:val="clear" w:color="auto" w:fill="FFFFFF"/>
        </w:rPr>
        <w:t>Krassioukov</w:t>
      </w:r>
      <w:proofErr w:type="spellEnd"/>
      <w:r w:rsidRPr="002D2F66">
        <w:rPr>
          <w:rFonts w:cstheme="minorHAnsi"/>
          <w:color w:val="212121"/>
          <w:shd w:val="clear" w:color="auto" w:fill="FFFFFF"/>
        </w:rPr>
        <w:t>, A., &amp; Elliott, S. (2017). Neural Control and Physiology of Sexual Function: Effect of Spinal Cord Injury. </w:t>
      </w:r>
      <w:r w:rsidRPr="002D2F66">
        <w:rPr>
          <w:rFonts w:cstheme="minorHAnsi"/>
          <w:i/>
          <w:iCs/>
          <w:color w:val="212121"/>
          <w:shd w:val="clear" w:color="auto" w:fill="FFFFFF"/>
        </w:rPr>
        <w:t xml:space="preserve">Topics in spinal cord injury </w:t>
      </w:r>
    </w:p>
    <w:p w14:paraId="4F74BD08" w14:textId="77777777" w:rsidR="00B523A3" w:rsidRDefault="00B523A3" w:rsidP="00AD23EE">
      <w:pPr>
        <w:ind w:firstLine="567"/>
        <w:jc w:val="both"/>
        <w:rPr>
          <w:rFonts w:cstheme="minorHAnsi"/>
          <w:color w:val="212121"/>
          <w:shd w:val="clear" w:color="auto" w:fill="FFFFFF"/>
        </w:rPr>
      </w:pPr>
      <w:r w:rsidRPr="002D2F66">
        <w:rPr>
          <w:rFonts w:cstheme="minorHAnsi"/>
          <w:i/>
          <w:iCs/>
          <w:color w:val="212121"/>
          <w:shd w:val="clear" w:color="auto" w:fill="FFFFFF"/>
        </w:rPr>
        <w:t>rehabilitation</w:t>
      </w:r>
      <w:r w:rsidRPr="002D2F66">
        <w:rPr>
          <w:rFonts w:cstheme="minorHAnsi"/>
          <w:color w:val="212121"/>
          <w:shd w:val="clear" w:color="auto" w:fill="FFFFFF"/>
        </w:rPr>
        <w:t>, </w:t>
      </w:r>
      <w:r w:rsidRPr="002D2F66">
        <w:rPr>
          <w:rFonts w:cstheme="minorHAnsi"/>
          <w:i/>
          <w:iCs/>
          <w:color w:val="212121"/>
          <w:shd w:val="clear" w:color="auto" w:fill="FFFFFF"/>
        </w:rPr>
        <w:t>23</w:t>
      </w:r>
      <w:r w:rsidRPr="002D2F66">
        <w:rPr>
          <w:rFonts w:cstheme="minorHAnsi"/>
          <w:color w:val="212121"/>
          <w:shd w:val="clear" w:color="auto" w:fill="FFFFFF"/>
        </w:rPr>
        <w:t xml:space="preserve">(1), 1–10. </w:t>
      </w:r>
      <w:r w:rsidRPr="00190FF0">
        <w:rPr>
          <w:rFonts w:cstheme="minorHAnsi"/>
          <w:color w:val="212121"/>
          <w:shd w:val="clear" w:color="auto" w:fill="FFFFFF"/>
        </w:rPr>
        <w:t>https://doi.org/10.1310/sci2301-1</w:t>
      </w:r>
    </w:p>
    <w:p w14:paraId="6655E019" w14:textId="77777777" w:rsidR="00933313" w:rsidRDefault="00AD23EE" w:rsidP="00AD23EE">
      <w:pPr>
        <w:pStyle w:val="NormalWeb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Mcleoad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S. (2023, September 29). </w:t>
      </w:r>
      <w:r>
        <w:rPr>
          <w:rFonts w:asciiTheme="minorHAnsi" w:hAnsiTheme="minorHAnsi" w:cstheme="minorHAnsi"/>
          <w:i/>
          <w:iCs/>
          <w:sz w:val="22"/>
          <w:szCs w:val="22"/>
        </w:rPr>
        <w:t>Self-concept in psychology: Definition &amp; examples.</w:t>
      </w:r>
      <w:r>
        <w:rPr>
          <w:rFonts w:asciiTheme="minorHAnsi" w:hAnsiTheme="minorHAnsi" w:cstheme="minorHAnsi"/>
          <w:sz w:val="22"/>
          <w:szCs w:val="22"/>
        </w:rPr>
        <w:t xml:space="preserve"> Simply psychology. </w:t>
      </w:r>
    </w:p>
    <w:p w14:paraId="7B3EC198" w14:textId="1215B88E" w:rsidR="00CA3186" w:rsidRPr="002D2F66" w:rsidRDefault="00AD23EE" w:rsidP="00933313">
      <w:pPr>
        <w:pStyle w:val="NormalWeb"/>
        <w:ind w:left="567"/>
        <w:rPr>
          <w:rFonts w:asciiTheme="minorHAnsi" w:hAnsiTheme="minorHAnsi" w:cstheme="minorHAnsi"/>
          <w:sz w:val="22"/>
          <w:szCs w:val="22"/>
        </w:rPr>
      </w:pPr>
      <w:r w:rsidRPr="00AD23EE">
        <w:rPr>
          <w:rFonts w:asciiTheme="minorHAnsi" w:hAnsiTheme="minorHAnsi" w:cstheme="minorHAnsi"/>
          <w:sz w:val="22"/>
          <w:szCs w:val="22"/>
        </w:rPr>
        <w:t>https://www.simplypsychology.org/self-</w:t>
      </w:r>
      <w:r w:rsidR="00CA3186" w:rsidRPr="002D2F66">
        <w:rPr>
          <w:rFonts w:asciiTheme="minorHAnsi" w:hAnsiTheme="minorHAnsi" w:cstheme="minorHAnsi"/>
          <w:sz w:val="22"/>
          <w:szCs w:val="22"/>
        </w:rPr>
        <w:t xml:space="preserve">concept.html </w:t>
      </w:r>
    </w:p>
    <w:p w14:paraId="13C259FE" w14:textId="77777777" w:rsidR="00AD23EE" w:rsidRDefault="00AD3829" w:rsidP="00B523A3">
      <w:pPr>
        <w:pStyle w:val="NormalWeb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D3829">
        <w:rPr>
          <w:rFonts w:asciiTheme="minorHAnsi" w:hAnsiTheme="minorHAnsi" w:cstheme="minorHAnsi"/>
          <w:sz w:val="22"/>
          <w:szCs w:val="22"/>
        </w:rPr>
        <w:t xml:space="preserve">Ory, C., Burgess-Stocks, J., &amp; Hooper, J. (2018). Intimacy after ostomy surgery guide. </w:t>
      </w:r>
    </w:p>
    <w:p w14:paraId="7C215F8D" w14:textId="41AC8DA2" w:rsidR="00AD3829" w:rsidRPr="00AD3829" w:rsidRDefault="00AD3829" w:rsidP="00AD23EE">
      <w:pPr>
        <w:pStyle w:val="NormalWeb"/>
        <w:ind w:left="567"/>
        <w:rPr>
          <w:rFonts w:asciiTheme="minorHAnsi" w:hAnsiTheme="minorHAnsi" w:cstheme="minorHAnsi"/>
          <w:sz w:val="22"/>
          <w:szCs w:val="22"/>
        </w:rPr>
      </w:pPr>
      <w:r w:rsidRPr="00190FF0">
        <w:rPr>
          <w:rFonts w:asciiTheme="minorHAnsi" w:hAnsiTheme="minorHAnsi" w:cstheme="minorHAnsi"/>
          <w:sz w:val="22"/>
          <w:szCs w:val="22"/>
        </w:rPr>
        <w:t>https://www.ostomy.org/wp</w:t>
      </w:r>
      <w:r w:rsidRPr="00AD3829">
        <w:rPr>
          <w:rFonts w:asciiTheme="minorHAnsi" w:hAnsiTheme="minorHAnsi" w:cstheme="minorHAnsi"/>
          <w:sz w:val="22"/>
          <w:szCs w:val="22"/>
        </w:rPr>
        <w:t xml:space="preserve">content/uploads/2018/03/Intimacy-After-Ostomy-Surgery-Guide.pdf </w:t>
      </w:r>
    </w:p>
    <w:sectPr w:rsidR="00AD3829" w:rsidRPr="00AD3829" w:rsidSect="00B40FA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E574" w14:textId="77777777" w:rsidR="00E328DB" w:rsidRDefault="00E328DB" w:rsidP="00B40FA0">
      <w:pPr>
        <w:spacing w:after="0" w:line="240" w:lineRule="auto"/>
      </w:pPr>
      <w:r>
        <w:separator/>
      </w:r>
    </w:p>
  </w:endnote>
  <w:endnote w:type="continuationSeparator" w:id="0">
    <w:p w14:paraId="6EE889BF" w14:textId="77777777" w:rsidR="00E328DB" w:rsidRDefault="00E328DB" w:rsidP="00B4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D260" w14:textId="77777777" w:rsidR="00B332CF" w:rsidRDefault="00B332CF">
    <w:pPr>
      <w:pStyle w:val="Footer"/>
    </w:pPr>
    <w:r>
      <w:t>R.B. Turnbull, Jr. MD School of WOC Nursing Education</w:t>
    </w:r>
  </w:p>
  <w:p w14:paraId="0B4057AA" w14:textId="77777777" w:rsidR="00B332CF" w:rsidRDefault="00B3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BBB6" w14:textId="77777777" w:rsidR="00E328DB" w:rsidRDefault="00E328DB" w:rsidP="00B40FA0">
      <w:pPr>
        <w:spacing w:after="0" w:line="240" w:lineRule="auto"/>
      </w:pPr>
      <w:r>
        <w:separator/>
      </w:r>
    </w:p>
  </w:footnote>
  <w:footnote w:type="continuationSeparator" w:id="0">
    <w:p w14:paraId="0C8E6AC8" w14:textId="77777777" w:rsidR="00E328DB" w:rsidRDefault="00E328DB" w:rsidP="00B4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7A0A" w14:textId="77777777" w:rsidR="00B40FA0" w:rsidRDefault="00B332CF">
    <w:pPr>
      <w:pStyle w:val="Header"/>
      <w:rPr>
        <w:b/>
        <w:color w:val="000000" w:themeColor="text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4F15D5" wp14:editId="5E05975F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1096010" cy="330200"/>
          <wp:effectExtent l="0" t="0" r="8890" b="0"/>
          <wp:wrapTight wrapText="bothSides">
            <wp:wrapPolygon edited="0">
              <wp:start x="0" y="0"/>
              <wp:lineTo x="0" y="19938"/>
              <wp:lineTo x="21400" y="19938"/>
              <wp:lineTo x="2140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eve Clin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50714576"/>
        <w:docPartObj>
          <w:docPartGallery w:val="Page Numbers (Margins)"/>
          <w:docPartUnique/>
        </w:docPartObj>
      </w:sdtPr>
      <w:sdtContent>
        <w:r w:rsidR="00436B5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8CEF41" wp14:editId="14C35EF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FE99A" w14:textId="77777777" w:rsidR="00436B53" w:rsidRDefault="00436B5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E32D1" w:rsidRPr="007E32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8CEF41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61FE99A" w14:textId="77777777" w:rsidR="00436B53" w:rsidRDefault="00436B5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E32D1" w:rsidRPr="007E32D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77E4D">
      <w:rPr>
        <w:b/>
        <w:color w:val="000000" w:themeColor="text1"/>
      </w:rPr>
      <w:t>Body Image and Sexual Function for the Patient with an Ostomy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82B"/>
    <w:multiLevelType w:val="hybridMultilevel"/>
    <w:tmpl w:val="796EE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07C"/>
    <w:multiLevelType w:val="hybridMultilevel"/>
    <w:tmpl w:val="3682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25E"/>
    <w:multiLevelType w:val="hybridMultilevel"/>
    <w:tmpl w:val="89BC9880"/>
    <w:lvl w:ilvl="0" w:tplc="85DE38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940"/>
    <w:multiLevelType w:val="hybridMultilevel"/>
    <w:tmpl w:val="9EC8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8497">
    <w:abstractNumId w:val="2"/>
  </w:num>
  <w:num w:numId="2" w16cid:durableId="223372292">
    <w:abstractNumId w:val="1"/>
  </w:num>
  <w:num w:numId="3" w16cid:durableId="1363087812">
    <w:abstractNumId w:val="0"/>
  </w:num>
  <w:num w:numId="4" w16cid:durableId="11614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A0"/>
    <w:rsid w:val="00007A9E"/>
    <w:rsid w:val="00012CD6"/>
    <w:rsid w:val="00023BE8"/>
    <w:rsid w:val="00031B1E"/>
    <w:rsid w:val="00040758"/>
    <w:rsid w:val="0005055B"/>
    <w:rsid w:val="0006530E"/>
    <w:rsid w:val="000773CF"/>
    <w:rsid w:val="00080E48"/>
    <w:rsid w:val="00084E36"/>
    <w:rsid w:val="0009333B"/>
    <w:rsid w:val="000A179B"/>
    <w:rsid w:val="000B749F"/>
    <w:rsid w:val="000D49C2"/>
    <w:rsid w:val="0011083B"/>
    <w:rsid w:val="00114849"/>
    <w:rsid w:val="00117EA9"/>
    <w:rsid w:val="00132AE6"/>
    <w:rsid w:val="001434A6"/>
    <w:rsid w:val="00144213"/>
    <w:rsid w:val="00146609"/>
    <w:rsid w:val="0016446F"/>
    <w:rsid w:val="00183913"/>
    <w:rsid w:val="00190FF0"/>
    <w:rsid w:val="001A2CAA"/>
    <w:rsid w:val="001B3626"/>
    <w:rsid w:val="001C634D"/>
    <w:rsid w:val="001E7A18"/>
    <w:rsid w:val="00231A9F"/>
    <w:rsid w:val="002530EE"/>
    <w:rsid w:val="00255407"/>
    <w:rsid w:val="002558AE"/>
    <w:rsid w:val="0028123A"/>
    <w:rsid w:val="002A51F7"/>
    <w:rsid w:val="002B1DCF"/>
    <w:rsid w:val="002B2A24"/>
    <w:rsid w:val="002C10D7"/>
    <w:rsid w:val="002C56B8"/>
    <w:rsid w:val="002C77C2"/>
    <w:rsid w:val="002D2F66"/>
    <w:rsid w:val="002D758A"/>
    <w:rsid w:val="002E4D1F"/>
    <w:rsid w:val="00302077"/>
    <w:rsid w:val="00302F23"/>
    <w:rsid w:val="00305ECC"/>
    <w:rsid w:val="00310F6D"/>
    <w:rsid w:val="00340CDD"/>
    <w:rsid w:val="00340EE5"/>
    <w:rsid w:val="00342AB9"/>
    <w:rsid w:val="003461B4"/>
    <w:rsid w:val="00347CB3"/>
    <w:rsid w:val="0037122D"/>
    <w:rsid w:val="00381D03"/>
    <w:rsid w:val="003872B1"/>
    <w:rsid w:val="003B2A08"/>
    <w:rsid w:val="003B718A"/>
    <w:rsid w:val="003E2079"/>
    <w:rsid w:val="003E55FA"/>
    <w:rsid w:val="003E7D65"/>
    <w:rsid w:val="004001E0"/>
    <w:rsid w:val="00403E67"/>
    <w:rsid w:val="004300DF"/>
    <w:rsid w:val="00436B53"/>
    <w:rsid w:val="004454CB"/>
    <w:rsid w:val="00471F8F"/>
    <w:rsid w:val="00472B3C"/>
    <w:rsid w:val="00482B35"/>
    <w:rsid w:val="004A5568"/>
    <w:rsid w:val="004C2957"/>
    <w:rsid w:val="004F0313"/>
    <w:rsid w:val="004F4595"/>
    <w:rsid w:val="00544A7B"/>
    <w:rsid w:val="00557C84"/>
    <w:rsid w:val="00570364"/>
    <w:rsid w:val="00572AAB"/>
    <w:rsid w:val="00576FF0"/>
    <w:rsid w:val="00580F8F"/>
    <w:rsid w:val="00591B50"/>
    <w:rsid w:val="00597321"/>
    <w:rsid w:val="005B24CF"/>
    <w:rsid w:val="005C43E2"/>
    <w:rsid w:val="005C6EA5"/>
    <w:rsid w:val="005F57B3"/>
    <w:rsid w:val="0060084B"/>
    <w:rsid w:val="00622169"/>
    <w:rsid w:val="006227BD"/>
    <w:rsid w:val="006407B1"/>
    <w:rsid w:val="00660D41"/>
    <w:rsid w:val="00677A68"/>
    <w:rsid w:val="00690A4D"/>
    <w:rsid w:val="00693F51"/>
    <w:rsid w:val="006A2EC4"/>
    <w:rsid w:val="006B0FB3"/>
    <w:rsid w:val="006B35F6"/>
    <w:rsid w:val="006B5CA7"/>
    <w:rsid w:val="006C37D8"/>
    <w:rsid w:val="0071177B"/>
    <w:rsid w:val="007172E9"/>
    <w:rsid w:val="00735A01"/>
    <w:rsid w:val="00743E6B"/>
    <w:rsid w:val="00743FC9"/>
    <w:rsid w:val="0079636E"/>
    <w:rsid w:val="007C19F8"/>
    <w:rsid w:val="007E32D1"/>
    <w:rsid w:val="007F35B2"/>
    <w:rsid w:val="00803C2B"/>
    <w:rsid w:val="00805FB5"/>
    <w:rsid w:val="008110F8"/>
    <w:rsid w:val="00824A63"/>
    <w:rsid w:val="008420F3"/>
    <w:rsid w:val="00880959"/>
    <w:rsid w:val="00883587"/>
    <w:rsid w:val="008A4FD6"/>
    <w:rsid w:val="008D6CB5"/>
    <w:rsid w:val="008E168E"/>
    <w:rsid w:val="008E1E5E"/>
    <w:rsid w:val="008E5E6E"/>
    <w:rsid w:val="008E617B"/>
    <w:rsid w:val="008F1277"/>
    <w:rsid w:val="00911936"/>
    <w:rsid w:val="009249E3"/>
    <w:rsid w:val="00933313"/>
    <w:rsid w:val="0094356E"/>
    <w:rsid w:val="00946852"/>
    <w:rsid w:val="0094762F"/>
    <w:rsid w:val="00954C76"/>
    <w:rsid w:val="00972EE5"/>
    <w:rsid w:val="00991649"/>
    <w:rsid w:val="00994595"/>
    <w:rsid w:val="009A09FC"/>
    <w:rsid w:val="009A0E4B"/>
    <w:rsid w:val="009A700E"/>
    <w:rsid w:val="009A7CEE"/>
    <w:rsid w:val="009B726E"/>
    <w:rsid w:val="009C05F4"/>
    <w:rsid w:val="009F1C2E"/>
    <w:rsid w:val="00A020A0"/>
    <w:rsid w:val="00A0537E"/>
    <w:rsid w:val="00A2339A"/>
    <w:rsid w:val="00A310D1"/>
    <w:rsid w:val="00A34B24"/>
    <w:rsid w:val="00A42957"/>
    <w:rsid w:val="00A44577"/>
    <w:rsid w:val="00A47BBA"/>
    <w:rsid w:val="00A70F27"/>
    <w:rsid w:val="00A8356C"/>
    <w:rsid w:val="00A86747"/>
    <w:rsid w:val="00AC59D6"/>
    <w:rsid w:val="00AD23EE"/>
    <w:rsid w:val="00AD3829"/>
    <w:rsid w:val="00AD4F7D"/>
    <w:rsid w:val="00AF5BEE"/>
    <w:rsid w:val="00B07F84"/>
    <w:rsid w:val="00B332CF"/>
    <w:rsid w:val="00B40FA0"/>
    <w:rsid w:val="00B42282"/>
    <w:rsid w:val="00B523A3"/>
    <w:rsid w:val="00B66BA6"/>
    <w:rsid w:val="00B84C85"/>
    <w:rsid w:val="00B876DB"/>
    <w:rsid w:val="00B915F4"/>
    <w:rsid w:val="00BB7DA5"/>
    <w:rsid w:val="00BC6AB1"/>
    <w:rsid w:val="00BE407B"/>
    <w:rsid w:val="00BE7B1F"/>
    <w:rsid w:val="00BF6596"/>
    <w:rsid w:val="00C10BAE"/>
    <w:rsid w:val="00C14F0A"/>
    <w:rsid w:val="00C22E15"/>
    <w:rsid w:val="00C452FA"/>
    <w:rsid w:val="00C64509"/>
    <w:rsid w:val="00C77161"/>
    <w:rsid w:val="00C77E4D"/>
    <w:rsid w:val="00C83FFD"/>
    <w:rsid w:val="00C84838"/>
    <w:rsid w:val="00C91E8F"/>
    <w:rsid w:val="00C92287"/>
    <w:rsid w:val="00CA3186"/>
    <w:rsid w:val="00CB5893"/>
    <w:rsid w:val="00D200BD"/>
    <w:rsid w:val="00D3463D"/>
    <w:rsid w:val="00D55644"/>
    <w:rsid w:val="00D55D1C"/>
    <w:rsid w:val="00D853BB"/>
    <w:rsid w:val="00DA0AA3"/>
    <w:rsid w:val="00DA79F2"/>
    <w:rsid w:val="00DB57BE"/>
    <w:rsid w:val="00DC2A32"/>
    <w:rsid w:val="00DE5E67"/>
    <w:rsid w:val="00DF2CB2"/>
    <w:rsid w:val="00DF618D"/>
    <w:rsid w:val="00E03A4C"/>
    <w:rsid w:val="00E16C73"/>
    <w:rsid w:val="00E24770"/>
    <w:rsid w:val="00E277EB"/>
    <w:rsid w:val="00E27E7C"/>
    <w:rsid w:val="00E328DB"/>
    <w:rsid w:val="00E514ED"/>
    <w:rsid w:val="00E532DF"/>
    <w:rsid w:val="00E54659"/>
    <w:rsid w:val="00E5758F"/>
    <w:rsid w:val="00E7632E"/>
    <w:rsid w:val="00E80ADC"/>
    <w:rsid w:val="00E936B2"/>
    <w:rsid w:val="00EA0AE0"/>
    <w:rsid w:val="00EA353E"/>
    <w:rsid w:val="00EC2FE4"/>
    <w:rsid w:val="00EC3899"/>
    <w:rsid w:val="00ED15D0"/>
    <w:rsid w:val="00EF0DAD"/>
    <w:rsid w:val="00EF4023"/>
    <w:rsid w:val="00F030C3"/>
    <w:rsid w:val="00F077ED"/>
    <w:rsid w:val="00F113D5"/>
    <w:rsid w:val="00F12F44"/>
    <w:rsid w:val="00F15E5B"/>
    <w:rsid w:val="00F217BE"/>
    <w:rsid w:val="00F262BF"/>
    <w:rsid w:val="00F30C39"/>
    <w:rsid w:val="00F56027"/>
    <w:rsid w:val="00F56219"/>
    <w:rsid w:val="00F75B52"/>
    <w:rsid w:val="00F861CD"/>
    <w:rsid w:val="00F976D0"/>
    <w:rsid w:val="00FA5C27"/>
    <w:rsid w:val="00FD05C3"/>
    <w:rsid w:val="00FD6D95"/>
    <w:rsid w:val="00FE35DF"/>
    <w:rsid w:val="00FE4635"/>
    <w:rsid w:val="00FE534F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CB5B6"/>
  <w15:chartTrackingRefBased/>
  <w15:docId w15:val="{34E72D5C-C4BE-4C50-9FB0-A1C9BBA4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A0"/>
  </w:style>
  <w:style w:type="paragraph" w:styleId="Footer">
    <w:name w:val="footer"/>
    <w:basedOn w:val="Normal"/>
    <w:link w:val="FooterChar"/>
    <w:uiPriority w:val="99"/>
    <w:unhideWhenUsed/>
    <w:rsid w:val="00B4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A0"/>
  </w:style>
  <w:style w:type="character" w:styleId="Hyperlink">
    <w:name w:val="Hyperlink"/>
    <w:basedOn w:val="DefaultParagraphFont"/>
    <w:uiPriority w:val="99"/>
    <w:unhideWhenUsed/>
    <w:rsid w:val="00110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8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ED88-0031-474A-831B-544A9F40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13356</TotalTime>
  <Pages>5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Stricker, Linda</dc:creator>
  <cp:keywords/>
  <dc:description/>
  <cp:lastModifiedBy>Kassandra Garcia</cp:lastModifiedBy>
  <cp:revision>201</cp:revision>
  <dcterms:created xsi:type="dcterms:W3CDTF">2023-10-16T22:13:00Z</dcterms:created>
  <dcterms:modified xsi:type="dcterms:W3CDTF">2023-10-29T19:41:00Z</dcterms:modified>
</cp:coreProperties>
</file>