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B" w:rsidRPr="00436B53" w:rsidRDefault="00544A7B" w:rsidP="00544A7B">
      <w:pPr>
        <w:jc w:val="both"/>
        <w:rPr>
          <w:b/>
          <w:color w:val="FF0000"/>
        </w:rPr>
      </w:pPr>
      <w:r w:rsidRPr="00C83FFD">
        <w:rPr>
          <w:b/>
          <w:color w:val="000000" w:themeColor="text1"/>
        </w:rPr>
        <w:t>Using academic writing standards and APA formatting</w:t>
      </w:r>
      <w:r w:rsidR="00972E70">
        <w:rPr>
          <w:b/>
          <w:color w:val="000000" w:themeColor="text1"/>
        </w:rPr>
        <w:t xml:space="preserve"> of references</w:t>
      </w:r>
      <w:r w:rsidRPr="00C83FFD">
        <w:rPr>
          <w:b/>
          <w:color w:val="000000" w:themeColor="text1"/>
        </w:rPr>
        <w:t>, respond</w:t>
      </w:r>
      <w:r w:rsidR="008F1277">
        <w:rPr>
          <w:b/>
          <w:color w:val="000000" w:themeColor="text1"/>
        </w:rPr>
        <w:t xml:space="preserve"> to</w:t>
      </w:r>
      <w:r w:rsidRPr="00C83FFD">
        <w:rPr>
          <w:b/>
          <w:color w:val="000000" w:themeColor="text1"/>
        </w:rPr>
        <w:t xml:space="preserve"> </w:t>
      </w:r>
      <w:r w:rsidR="008F1277">
        <w:rPr>
          <w:b/>
          <w:color w:val="000000" w:themeColor="text1"/>
        </w:rPr>
        <w:t>each of</w:t>
      </w:r>
      <w:r w:rsidRPr="00C83FFD">
        <w:rPr>
          <w:b/>
          <w:color w:val="000000" w:themeColor="text1"/>
        </w:rPr>
        <w:t xml:space="preserve"> the following learning objectives. </w:t>
      </w:r>
      <w:r w:rsidR="00984418">
        <w:rPr>
          <w:b/>
          <w:color w:val="000000" w:themeColor="text1"/>
        </w:rPr>
        <w:t>Using this document,</w:t>
      </w:r>
      <w:r w:rsidR="006C3913">
        <w:rPr>
          <w:b/>
          <w:color w:val="000000" w:themeColor="text1"/>
        </w:rPr>
        <w:t xml:space="preserve"> enter the</w:t>
      </w:r>
      <w:r w:rsidR="00984418">
        <w:rPr>
          <w:b/>
          <w:color w:val="000000" w:themeColor="text1"/>
        </w:rPr>
        <w:t xml:space="preserve"> r</w:t>
      </w:r>
      <w:r w:rsidR="006C3913">
        <w:rPr>
          <w:b/>
          <w:color w:val="000000" w:themeColor="text1"/>
        </w:rPr>
        <w:t xml:space="preserve">esponses </w:t>
      </w:r>
      <w:r w:rsidR="00972E70">
        <w:rPr>
          <w:b/>
          <w:color w:val="000000" w:themeColor="text1"/>
        </w:rPr>
        <w:t>next to the corresponding learning objective</w:t>
      </w:r>
      <w:r w:rsidR="008F1277">
        <w:rPr>
          <w:b/>
          <w:color w:val="000000" w:themeColor="text1"/>
        </w:rPr>
        <w:t>.</w:t>
      </w:r>
      <w:r w:rsidR="00347CB3">
        <w:rPr>
          <w:b/>
          <w:color w:val="000000" w:themeColor="text1"/>
        </w:rPr>
        <w:t xml:space="preserve"> </w:t>
      </w:r>
      <w:r w:rsidR="006C3913">
        <w:rPr>
          <w:b/>
          <w:color w:val="000000" w:themeColor="text1"/>
        </w:rPr>
        <w:t xml:space="preserve">Responses should be 150-350 words in length. </w:t>
      </w:r>
      <w:r w:rsidR="00972E70">
        <w:rPr>
          <w:b/>
          <w:color w:val="000000" w:themeColor="text1"/>
        </w:rPr>
        <w:t>Scroll down to s</w:t>
      </w:r>
      <w:r w:rsidR="00347CB3">
        <w:rPr>
          <w:b/>
          <w:color w:val="000000" w:themeColor="text1"/>
        </w:rPr>
        <w:t>ee assignment rubric</w:t>
      </w:r>
      <w:r w:rsidRPr="00C83FFD">
        <w:rPr>
          <w:b/>
          <w:color w:val="000000" w:themeColor="text1"/>
        </w:rPr>
        <w:t xml:space="preserve"> for specific details </w:t>
      </w:r>
      <w:r w:rsidR="008F1277">
        <w:rPr>
          <w:b/>
          <w:color w:val="000000" w:themeColor="text1"/>
        </w:rPr>
        <w:t xml:space="preserve">on how </w:t>
      </w:r>
      <w:r w:rsidR="00972E70">
        <w:rPr>
          <w:b/>
          <w:color w:val="000000" w:themeColor="text1"/>
        </w:rPr>
        <w:t xml:space="preserve">the project will be assessed and </w:t>
      </w:r>
      <w:r w:rsidR="00950B26">
        <w:rPr>
          <w:b/>
          <w:color w:val="000000" w:themeColor="text1"/>
        </w:rPr>
        <w:t xml:space="preserve">how </w:t>
      </w:r>
      <w:r w:rsidR="00972E70">
        <w:rPr>
          <w:b/>
          <w:color w:val="000000" w:themeColor="text1"/>
        </w:rPr>
        <w:t>the will be points awarded</w:t>
      </w:r>
      <w:r w:rsidRPr="00C83FFD">
        <w:rPr>
          <w:b/>
          <w:color w:val="000000" w:themeColor="text1"/>
        </w:rPr>
        <w:t>.</w:t>
      </w:r>
      <w:r w:rsidR="006A2EC4" w:rsidRPr="00C83FFD">
        <w:rPr>
          <w:b/>
          <w:color w:val="000000" w:themeColor="text1"/>
        </w:rPr>
        <w:t xml:space="preserve"> </w:t>
      </w:r>
      <w:r w:rsidR="00984418">
        <w:rPr>
          <w:b/>
          <w:color w:val="000000" w:themeColor="text1"/>
        </w:rPr>
        <w:t>Save the completed document as the assignment title and submit to the dropbox.</w:t>
      </w:r>
    </w:p>
    <w:tbl>
      <w:tblPr>
        <w:tblStyle w:val="TableGrid"/>
        <w:tblW w:w="13140" w:type="dxa"/>
        <w:tblInd w:w="-95" w:type="dxa"/>
        <w:tblLook w:val="04A0" w:firstRow="1" w:lastRow="0" w:firstColumn="1" w:lastColumn="0" w:noHBand="0" w:noVBand="1"/>
      </w:tblPr>
      <w:tblGrid>
        <w:gridCol w:w="4140"/>
        <w:gridCol w:w="9000"/>
      </w:tblGrid>
      <w:tr w:rsidR="00544A7B" w:rsidTr="006F1D09">
        <w:tc>
          <w:tcPr>
            <w:tcW w:w="4140" w:type="dxa"/>
            <w:shd w:val="clear" w:color="auto" w:fill="FFD966" w:themeFill="accent4" w:themeFillTint="99"/>
          </w:tcPr>
          <w:p w:rsidR="00544A7B" w:rsidRPr="00544A7B" w:rsidRDefault="00544A7B">
            <w:pPr>
              <w:rPr>
                <w:b/>
              </w:rPr>
            </w:pPr>
            <w:r w:rsidRPr="00544A7B">
              <w:rPr>
                <w:b/>
              </w:rPr>
              <w:t>Learning Objective</w:t>
            </w:r>
          </w:p>
        </w:tc>
        <w:tc>
          <w:tcPr>
            <w:tcW w:w="9000" w:type="dxa"/>
            <w:shd w:val="clear" w:color="auto" w:fill="FFD966" w:themeFill="accent4" w:themeFillTint="99"/>
          </w:tcPr>
          <w:p w:rsidR="00544A7B" w:rsidRPr="00544A7B" w:rsidRDefault="00544A7B">
            <w:pPr>
              <w:rPr>
                <w:b/>
              </w:rPr>
            </w:pPr>
            <w:r w:rsidRPr="00544A7B">
              <w:rPr>
                <w:b/>
              </w:rPr>
              <w:t>Response</w:t>
            </w:r>
          </w:p>
        </w:tc>
      </w:tr>
      <w:tr w:rsidR="00B40FA0" w:rsidTr="00436B53">
        <w:tc>
          <w:tcPr>
            <w:tcW w:w="4140" w:type="dxa"/>
          </w:tcPr>
          <w:p w:rsidR="00B40FA0" w:rsidRDefault="00B40FA0">
            <w:r>
              <w:t>1. Describe the incidence and prevalence of catheter associated urinary tract infection (CAUTI).</w:t>
            </w:r>
          </w:p>
        </w:tc>
        <w:tc>
          <w:tcPr>
            <w:tcW w:w="9000" w:type="dxa"/>
          </w:tcPr>
          <w:p w:rsidR="00B40FA0" w:rsidRDefault="00B40FA0"/>
          <w:p w:rsidR="00882C14" w:rsidRDefault="00882C14" w:rsidP="00882C14">
            <w:pPr>
              <w:pStyle w:val="xmsonormal"/>
              <w:shd w:val="clear" w:color="auto" w:fill="FFFFFF"/>
              <w:spacing w:before="0" w:beforeAutospacing="0" w:after="160" w:afterAutospacing="0" w:line="235" w:lineRule="atLeast"/>
              <w:ind w:left="360"/>
              <w:rPr>
                <w:rFonts w:ascii="Segoe UI" w:hAnsi="Segoe UI" w:cs="Segoe UI"/>
                <w:color w:val="201F1E"/>
              </w:rPr>
            </w:pPr>
            <w:r>
              <w:rPr>
                <w:rFonts w:ascii="Segoe UI" w:hAnsi="Segoe UI" w:cs="Segoe UI"/>
                <w:color w:val="201F1E"/>
              </w:rPr>
              <w:t xml:space="preserve">Catheter associated urinary tract infection (CAUTI) can cause many health risks to individuals that acquire this infection. They have an increased rate of morbidity, mortality, healthcare costs, and longer hospital stays (Centers for Disease Control and Prevention, 2010). CAUTI is considered the most common infection that individuals that are hospitalized will develop. CAUTI’s account for more than 30% of acute care hospital infections. Centers for Disease Control and Prevention (CDC) and National Healthcare Safety Network (NHSN) report that 13,000 deaths are associated with urinary tract infections (UTI) each year and that 449,334 CAUTI events happen per year. The magnitude of incidences of CAUTIs increases the monetary cost to the health care system. Each CAUTI can cost as much as $758 which can bring the yearly total to be greater than $340 million. The rates of CAUTI can vary greatly due to location and patient population (National Healthcare Safety Network &amp; Centers for Disease Control and Prevention, 2010). In several of the studies, intensive care units (ICU) and emergency rooms (ER) have an increased rate of indwelling urinary catheter (IUC) which increases the rate of CAUTIs. Moore and Franklin report in a recent study, that ER staff’s knowledge of proper indicators for placing IUC was severely lacking. Due to the lack of proper knowledge of when it is appropriate to insert an IUC the risk of complications also increases. Many of these studies are showing that the elderly population have higher instances of having an IUC placed. One study showed that 63% of catheter insertions were in patients older than sixty-five years of age and only 43% of these cases had a written doctor’s order for the placement of an IUC (Moore &amp; Franklin, 2016).  Some </w:t>
            </w:r>
            <w:r>
              <w:rPr>
                <w:rFonts w:ascii="Segoe UI" w:hAnsi="Segoe UI" w:cs="Segoe UI"/>
                <w:color w:val="201F1E"/>
              </w:rPr>
              <w:lastRenderedPageBreak/>
              <w:t xml:space="preserve">prevalence studies report that 12-21% of patients in acute hospitals and 6-13% in the community have IUC.  A point prevalence study of 101 patients reported a CAUTI prevalence rate of 5%. As this study continued over eight months 70% of patients with long-term IUC reported experiencing a CAUTI (Forde &amp; Barry, 2017). </w:t>
            </w:r>
          </w:p>
          <w:p w:rsidR="00347CB3" w:rsidRDefault="00347CB3"/>
          <w:p w:rsidR="00347CB3" w:rsidRDefault="00347CB3"/>
          <w:p w:rsidR="00347CB3" w:rsidRDefault="00347CB3"/>
        </w:tc>
      </w:tr>
      <w:tr w:rsidR="00B40FA0" w:rsidTr="00436B53">
        <w:tc>
          <w:tcPr>
            <w:tcW w:w="4140" w:type="dxa"/>
          </w:tcPr>
          <w:p w:rsidR="00B40FA0" w:rsidRDefault="00B40FA0">
            <w:r>
              <w:lastRenderedPageBreak/>
              <w:t>2. List factors associated with the development of CAUTI.</w:t>
            </w:r>
          </w:p>
        </w:tc>
        <w:tc>
          <w:tcPr>
            <w:tcW w:w="9000" w:type="dxa"/>
          </w:tcPr>
          <w:p w:rsidR="00B40FA0" w:rsidRDefault="00B40FA0"/>
          <w:p w:rsidR="00882C14" w:rsidRDefault="00882C14" w:rsidP="00882C14">
            <w:pPr>
              <w:pStyle w:val="xmsonormal"/>
              <w:shd w:val="clear" w:color="auto" w:fill="FFFFFF"/>
              <w:spacing w:before="0" w:beforeAutospacing="0" w:after="160" w:afterAutospacing="0" w:line="235" w:lineRule="atLeast"/>
              <w:ind w:left="360"/>
              <w:rPr>
                <w:rFonts w:ascii="Segoe UI" w:hAnsi="Segoe UI" w:cs="Segoe UI"/>
                <w:color w:val="201F1E"/>
              </w:rPr>
            </w:pPr>
            <w:r>
              <w:rPr>
                <w:rFonts w:ascii="Segoe UI" w:hAnsi="Segoe UI" w:cs="Segoe UI"/>
                <w:color w:val="201F1E"/>
              </w:rPr>
              <w:t xml:space="preserve">Defined by the CDC, a CAUTI occurs when germs enter the urinary tract through the urinary catheter and cause an infection (CDC, 2010). A CAUTI is considered a “preventable harm”. Individuals that use catheters have a higher risk of developing a urinary tract infection (UTI). The longer period of time that an individual uses an IUC the higher the risk is for development of a CAUTI. Biofilm can start forming on a catheter as soon as twenty-four hours after insertion, which will only increase the longer the catheter stays in place. As colonization occurs the spread of these organisms mobilize toward the bladder. New organisms can be growing at the rate of 3% to 7% a day (Moore &amp; Franklin, 2016). Long term IUC use has a risk of becoming blocked by mucous, blood, precipitates or biofilm which increases the chance of developing a CAUTI. Aseptic techniques during insertion are used to help prevent a CAUTI. It is important to have an appropriate reason to insert an IUC. Inappropriate reasons for insertion can increase the risk for infection because the catheter may not be necessary and it will probably stay in place for an extended period of time which increases the risk for the develop of a CAUTI (Moore &amp; Franklin, 2016). </w:t>
            </w:r>
          </w:p>
          <w:p w:rsidR="00347CB3" w:rsidRDefault="00347CB3"/>
          <w:p w:rsidR="00347CB3" w:rsidRDefault="00347CB3"/>
          <w:p w:rsidR="00347CB3" w:rsidRDefault="00347CB3"/>
        </w:tc>
      </w:tr>
      <w:tr w:rsidR="00B40FA0" w:rsidTr="00436B53">
        <w:tc>
          <w:tcPr>
            <w:tcW w:w="4140" w:type="dxa"/>
          </w:tcPr>
          <w:p w:rsidR="00B40FA0" w:rsidRDefault="00B40FA0">
            <w:r>
              <w:lastRenderedPageBreak/>
              <w:t>3. Discuss nursing evidence-based interventions</w:t>
            </w:r>
            <w:r w:rsidR="002C77C2">
              <w:t xml:space="preserve"> for CAUTI prevention and management.</w:t>
            </w:r>
            <w:r>
              <w:t xml:space="preserve"> </w:t>
            </w:r>
          </w:p>
        </w:tc>
        <w:tc>
          <w:tcPr>
            <w:tcW w:w="9000" w:type="dxa"/>
          </w:tcPr>
          <w:p w:rsidR="00882C14" w:rsidRDefault="00882C14" w:rsidP="00882C14">
            <w:pPr>
              <w:pStyle w:val="xmsonormal"/>
              <w:shd w:val="clear" w:color="auto" w:fill="FFFFFF"/>
              <w:spacing w:beforeAutospacing="0" w:after="160" w:afterAutospacing="0" w:line="241" w:lineRule="atLeast"/>
              <w:ind w:left="360"/>
              <w:rPr>
                <w:rFonts w:ascii="Segoe UI" w:hAnsi="Segoe UI" w:cs="Segoe UI"/>
                <w:color w:val="201F1E"/>
              </w:rPr>
            </w:pPr>
            <w:r>
              <w:rPr>
                <w:rFonts w:ascii="Segoe UI" w:hAnsi="Segoe UI" w:cs="Segoe UI"/>
                <w:color w:val="201F1E"/>
              </w:rPr>
              <w:t>The best prevention for avoiding developing a catheter associated urinary tract infection (CAUTI) is avoiding unnecessary placements of catheters and limiting long term catherization. There are nursing, evidenced based interventions for preventing CAUTI that have been done in hopes of eradicating the catheter biofilms. Some of these interventions include flushing the catheter with acidic solutions (Moore &amp; Franklin, 2016).</w:t>
            </w:r>
          </w:p>
          <w:p w:rsidR="00882C14" w:rsidRDefault="00882C14" w:rsidP="00882C14">
            <w:pPr>
              <w:pStyle w:val="xmsonormal"/>
              <w:shd w:val="clear" w:color="auto" w:fill="FFFFFF"/>
              <w:spacing w:beforeAutospacing="0" w:after="160" w:afterAutospacing="0" w:line="241" w:lineRule="atLeast"/>
              <w:ind w:left="360"/>
              <w:rPr>
                <w:rFonts w:ascii="Segoe UI" w:hAnsi="Segoe UI" w:cs="Segoe UI"/>
                <w:color w:val="201F1E"/>
              </w:rPr>
            </w:pPr>
            <w:r>
              <w:rPr>
                <w:rFonts w:ascii="Segoe UI" w:hAnsi="Segoe UI" w:cs="Segoe UI"/>
                <w:color w:val="201F1E"/>
              </w:rPr>
              <w:t xml:space="preserve">It is important when working in a nursing facility to have policies in place to assist with the management of catheter use. Management can utilize already known successful programs on how to care for IUC’s. Hospitals can implement quality improvement (QI) programs to review the appropriate use of IUC and to help reduce the risk of CAUTI (Gould et al., 2019). Aseptic insertion technique of IUC is considered a universal best practice guideline (Moore &amp; Franklin, 2016). It is important that proper hand hygiene is done before and after IUC insertion or any care that is provided. Having only trained personnel inserting IUC and documenting placement when an individual is in the hospital. Reviewing data that is collected to ensure that strategies of implemented care are showing reduced rates of CAUTIs throughout the health care system (Gould et al., 2019).  </w:t>
            </w:r>
          </w:p>
          <w:p w:rsidR="00882C14" w:rsidRDefault="00882C14" w:rsidP="00882C14">
            <w:pPr>
              <w:pStyle w:val="xmsonormal"/>
              <w:shd w:val="clear" w:color="auto" w:fill="FFFFFF"/>
              <w:spacing w:before="0" w:beforeAutospacing="0" w:after="160" w:afterAutospacing="0" w:line="235" w:lineRule="atLeast"/>
              <w:ind w:left="360"/>
              <w:rPr>
                <w:rFonts w:ascii="Segoe UI" w:hAnsi="Segoe UI" w:cs="Segoe UI"/>
                <w:color w:val="201F1E"/>
              </w:rPr>
            </w:pPr>
            <w:r>
              <w:rPr>
                <w:rFonts w:ascii="Segoe UI" w:hAnsi="Segoe UI" w:cs="Segoe UI"/>
                <w:color w:val="201F1E"/>
              </w:rPr>
              <w:t xml:space="preserve">Planning follow up appointments with family medicine doctors, urologists and nurse specialists to review if the long-term IUC is still necessary is a way to help prevent CAUTIs by limiting the unnecessary use of a catheter. Involving patient’s in the care of their IUC can improve cleaning techniques and allow for medical staff to provide teaching to individuals prior to being discharged from a medical setting (Forde &amp; Barry, 2017). </w:t>
            </w:r>
          </w:p>
          <w:p w:rsidR="00B40FA0" w:rsidRDefault="00B40FA0"/>
          <w:p w:rsidR="00347CB3" w:rsidRDefault="00347CB3"/>
          <w:p w:rsidR="00347CB3" w:rsidRDefault="00347CB3"/>
          <w:p w:rsidR="00347CB3" w:rsidRDefault="00347CB3"/>
        </w:tc>
      </w:tr>
      <w:tr w:rsidR="00B40FA0" w:rsidTr="00436B53">
        <w:tc>
          <w:tcPr>
            <w:tcW w:w="4140" w:type="dxa"/>
          </w:tcPr>
          <w:p w:rsidR="00B40FA0" w:rsidRDefault="00B40FA0" w:rsidP="002C77C2">
            <w:r>
              <w:t xml:space="preserve">4. </w:t>
            </w:r>
            <w:r w:rsidR="002C77C2">
              <w:t>Identify s</w:t>
            </w:r>
            <w:r>
              <w:t>elect</w:t>
            </w:r>
            <w:r w:rsidR="002C77C2">
              <w:t>ion criteria for</w:t>
            </w:r>
            <w:r>
              <w:t xml:space="preserve"> appropriate </w:t>
            </w:r>
            <w:r>
              <w:lastRenderedPageBreak/>
              <w:t xml:space="preserve">indwelling catheter size. </w:t>
            </w:r>
          </w:p>
        </w:tc>
        <w:tc>
          <w:tcPr>
            <w:tcW w:w="9000" w:type="dxa"/>
          </w:tcPr>
          <w:p w:rsidR="00882C14" w:rsidRDefault="00882C14" w:rsidP="00882C14">
            <w:pPr>
              <w:pStyle w:val="xmsonormal"/>
              <w:shd w:val="clear" w:color="auto" w:fill="FFFFFF"/>
              <w:spacing w:before="0" w:beforeAutospacing="0" w:after="160" w:afterAutospacing="0" w:line="235" w:lineRule="atLeast"/>
              <w:rPr>
                <w:rFonts w:ascii="Segoe UI" w:hAnsi="Segoe UI" w:cs="Segoe UI"/>
                <w:color w:val="201F1E"/>
              </w:rPr>
            </w:pPr>
            <w:r>
              <w:rPr>
                <w:rFonts w:ascii="Segoe UI" w:hAnsi="Segoe UI" w:cs="Segoe UI"/>
                <w:color w:val="201F1E"/>
              </w:rPr>
              <w:lastRenderedPageBreak/>
              <w:t xml:space="preserve">Catheters are hollow, flexible tubes that are placed through the urethra or </w:t>
            </w:r>
            <w:r>
              <w:rPr>
                <w:rFonts w:ascii="Segoe UI" w:hAnsi="Segoe UI" w:cs="Segoe UI"/>
                <w:color w:val="201F1E"/>
              </w:rPr>
              <w:lastRenderedPageBreak/>
              <w:t xml:space="preserve">suprapubic space into the bladder to allow urine to drain into a collection device (Moore &amp; Franklin, 2016). There are typical catheter sizes that are used for adults. The appropriate catheter size is determined by assessing a person’s weight and the purpose of the catheter. The measurement scale that is used for catheter’s is called the French scale.  A size 14 to 16 French is the size that is used most often, but larger or smaller sizes are available. A catheter’s size is measured by the outer diameter of it. Catheters can be used in all age groups and for all sizes of people. It has been determined that using less than a size 16 French is the best practice because larger sizes have an increased risk of injury to a person’s body.  The severity of an injury caused from an IUC can vary. A very serious injury can lead to permeant incontinence. It has been shown to minimize the risk of bladder spasms, leakage, and bladder neck/urethral and meatus erosion if smaller sized catheters and catheter stabilizing devices are utilized. There are multiple types of catheters made from different materials and coated with variable products. Due to the many types determining the best product for the right situation is important (Moore &amp; Franklin, 2016). </w:t>
            </w:r>
          </w:p>
          <w:p w:rsidR="00B40FA0" w:rsidRDefault="00B40FA0"/>
          <w:p w:rsidR="00347CB3" w:rsidRDefault="00347CB3"/>
          <w:p w:rsidR="00347CB3" w:rsidRDefault="00347CB3"/>
          <w:p w:rsidR="00347CB3" w:rsidRDefault="00347CB3"/>
        </w:tc>
      </w:tr>
      <w:tr w:rsidR="00B40FA0" w:rsidTr="00436B53">
        <w:tc>
          <w:tcPr>
            <w:tcW w:w="4140" w:type="dxa"/>
          </w:tcPr>
          <w:p w:rsidR="00B40FA0" w:rsidRDefault="00B40FA0">
            <w:r>
              <w:lastRenderedPageBreak/>
              <w:t>5. Differentiate between a urinary tract infection and colonization.</w:t>
            </w:r>
          </w:p>
        </w:tc>
        <w:tc>
          <w:tcPr>
            <w:tcW w:w="9000" w:type="dxa"/>
          </w:tcPr>
          <w:p w:rsidR="00B40FA0" w:rsidRDefault="00B40FA0"/>
          <w:p w:rsidR="00347CB3" w:rsidRDefault="00347CB3"/>
          <w:p w:rsidR="00882C14" w:rsidRDefault="00882C14" w:rsidP="00882C14">
            <w:pPr>
              <w:pStyle w:val="xmsonormal"/>
              <w:shd w:val="clear" w:color="auto" w:fill="FFFFFF"/>
              <w:spacing w:before="0" w:beforeAutospacing="0" w:after="160" w:afterAutospacing="0" w:line="235" w:lineRule="atLeast"/>
              <w:rPr>
                <w:rFonts w:ascii="Segoe UI" w:hAnsi="Segoe UI" w:cs="Segoe UI"/>
                <w:color w:val="201F1E"/>
              </w:rPr>
            </w:pPr>
            <w:r>
              <w:rPr>
                <w:rFonts w:ascii="Segoe UI" w:hAnsi="Segoe UI" w:cs="Segoe UI"/>
                <w:color w:val="201F1E"/>
              </w:rPr>
              <w:t xml:space="preserve">An individual that has a urinary tract infections (UTI) typically shows signs and symptoms of fever and/or chills, flank pain, and hematuria. A UTI can be diagnosed with a urinalysis and a blood culture. If an individual develops a UTI is using an indwelling catheter this infection would be considered a CAUTI. Common organisms that are sources of UTIs are Escherichia coli, Candida spp. and Enterococcus (Moore &amp; Franklin, 2016). Bacteria that invades the urinary bladder and/or the upper portion of the urethra is the source of infection considered a UTI.  </w:t>
            </w:r>
          </w:p>
          <w:p w:rsidR="00882C14" w:rsidRDefault="00882C14" w:rsidP="00882C14">
            <w:pPr>
              <w:pStyle w:val="xmsonormal"/>
              <w:shd w:val="clear" w:color="auto" w:fill="FFFFFF"/>
              <w:spacing w:before="0" w:beforeAutospacing="0" w:after="160" w:afterAutospacing="0" w:line="235" w:lineRule="atLeast"/>
              <w:rPr>
                <w:rFonts w:ascii="Segoe UI" w:hAnsi="Segoe UI" w:cs="Segoe UI"/>
                <w:color w:val="201F1E"/>
              </w:rPr>
            </w:pPr>
            <w:r>
              <w:rPr>
                <w:rFonts w:ascii="Segoe UI" w:hAnsi="Segoe UI" w:cs="Segoe UI"/>
                <w:color w:val="201F1E"/>
              </w:rPr>
              <w:lastRenderedPageBreak/>
              <w:t xml:space="preserve">Colonization is the congregation of bacteria. The colonization of bacteria that grows on an individual’s tissue doesn’t necessarily mean an infection has occurred.  The grouping of bacteria at a specific site can occur within days for a person that has an indwelling catheter. If this person is not experiencing any symptoms of infection such as fever, chills or pain this condition is called asymptomatic bacteriuria (ASB). If a person has ASB there is no need for treatment but if a person has a CAUTI they will need treatment (Moore &amp; Franklin, 2016). </w:t>
            </w:r>
          </w:p>
          <w:p w:rsidR="00347CB3" w:rsidRDefault="00347CB3"/>
          <w:p w:rsidR="00347CB3" w:rsidRDefault="00347CB3"/>
        </w:tc>
      </w:tr>
      <w:tr w:rsidR="00347CB3" w:rsidTr="006F1D09">
        <w:tc>
          <w:tcPr>
            <w:tcW w:w="4140" w:type="dxa"/>
            <w:shd w:val="clear" w:color="auto" w:fill="BF8F00" w:themeFill="accent4" w:themeFillShade="BF"/>
          </w:tcPr>
          <w:p w:rsidR="00347CB3" w:rsidRDefault="00347CB3"/>
        </w:tc>
        <w:tc>
          <w:tcPr>
            <w:tcW w:w="9000" w:type="dxa"/>
            <w:shd w:val="clear" w:color="auto" w:fill="BF8F00" w:themeFill="accent4" w:themeFillShade="BF"/>
          </w:tcPr>
          <w:p w:rsidR="00347CB3" w:rsidRDefault="00347CB3"/>
        </w:tc>
      </w:tr>
      <w:tr w:rsidR="00B40FA0" w:rsidTr="00436B53">
        <w:tc>
          <w:tcPr>
            <w:tcW w:w="4140" w:type="dxa"/>
          </w:tcPr>
          <w:p w:rsidR="00B40FA0" w:rsidRDefault="00B40FA0" w:rsidP="002C77C2">
            <w:r>
              <w:t xml:space="preserve">List </w:t>
            </w:r>
            <w:r w:rsidR="00347CB3">
              <w:t xml:space="preserve">at least </w:t>
            </w:r>
            <w:r>
              <w:t>three current references that support your responses</w:t>
            </w:r>
            <w:r w:rsidR="002C77C2">
              <w:t xml:space="preserve"> (textbook required as one of the references),</w:t>
            </w:r>
            <w:r>
              <w:t xml:space="preserve"> and include the citations in the body of the written responses. </w:t>
            </w:r>
          </w:p>
        </w:tc>
        <w:tc>
          <w:tcPr>
            <w:tcW w:w="9000" w:type="dxa"/>
          </w:tcPr>
          <w:p w:rsidR="00882C14" w:rsidRDefault="00882C14" w:rsidP="00882C14">
            <w:pPr>
              <w:pStyle w:val="xmsonormal"/>
              <w:shd w:val="clear" w:color="auto" w:fill="FFFFFF"/>
              <w:spacing w:before="0" w:beforeAutospacing="0" w:after="160" w:afterAutospacing="0" w:line="235" w:lineRule="atLeast"/>
              <w:rPr>
                <w:rFonts w:ascii="Segoe UI" w:hAnsi="Segoe UI" w:cs="Segoe UI"/>
                <w:i/>
                <w:iCs/>
                <w:color w:val="201F1E"/>
              </w:rPr>
            </w:pPr>
            <w:r>
              <w:rPr>
                <w:rFonts w:ascii="Segoe UI" w:hAnsi="Segoe UI" w:cs="Segoe UI"/>
                <w:color w:val="201F1E"/>
              </w:rPr>
              <w:t xml:space="preserve">Centers for Disease Control and Prevention (CDC)(ND). </w:t>
            </w:r>
            <w:r>
              <w:rPr>
                <w:rFonts w:ascii="Segoe UI" w:hAnsi="Segoe UI" w:cs="Segoe UI"/>
                <w:i/>
                <w:iCs/>
                <w:color w:val="201F1E"/>
              </w:rPr>
              <w:t xml:space="preserve">Healthcare-associated </w:t>
            </w:r>
          </w:p>
          <w:p w:rsidR="00882C14" w:rsidRDefault="00882C14" w:rsidP="00882C14">
            <w:pPr>
              <w:pStyle w:val="xmsonormal"/>
              <w:shd w:val="clear" w:color="auto" w:fill="FFFFFF"/>
              <w:spacing w:before="0" w:beforeAutospacing="0" w:after="160" w:afterAutospacing="0" w:line="235" w:lineRule="atLeast"/>
              <w:jc w:val="center"/>
            </w:pPr>
            <w:r>
              <w:rPr>
                <w:rFonts w:ascii="Segoe UI" w:hAnsi="Segoe UI" w:cs="Segoe UI"/>
                <w:i/>
                <w:iCs/>
                <w:color w:val="201F1E"/>
              </w:rPr>
              <w:t>infections: FAQs about CAUTI</w:t>
            </w:r>
            <w:r>
              <w:rPr>
                <w:rFonts w:ascii="Segoe UI" w:hAnsi="Segoe UI" w:cs="Segoe UI"/>
                <w:color w:val="201F1E"/>
              </w:rPr>
              <w:t xml:space="preserve">. </w:t>
            </w:r>
            <w:hyperlink r:id="rId8" w:history="1">
              <w:r>
                <w:rPr>
                  <w:rStyle w:val="Hyperlink"/>
                </w:rPr>
                <w:t>https://www.cdc.gov/hai/ca_uti/cauti_faqs.html</w:t>
              </w:r>
            </w:hyperlink>
          </w:p>
          <w:p w:rsidR="00882C14" w:rsidRDefault="00882C14" w:rsidP="00882C14">
            <w:pPr>
              <w:pStyle w:val="xmsonormal"/>
              <w:shd w:val="clear" w:color="auto" w:fill="FFFFFF"/>
              <w:spacing w:before="0" w:beforeAutospacing="0" w:after="160" w:afterAutospacing="0" w:line="235" w:lineRule="atLeast"/>
            </w:pPr>
          </w:p>
          <w:p w:rsidR="00882C14" w:rsidRDefault="00882C14" w:rsidP="00882C14">
            <w:pPr>
              <w:pStyle w:val="xmsonormal"/>
              <w:shd w:val="clear" w:color="auto" w:fill="FFFFFF"/>
              <w:spacing w:before="0" w:beforeAutospacing="0" w:after="160" w:afterAutospacing="0" w:line="235" w:lineRule="atLeast"/>
            </w:pPr>
            <w:r>
              <w:t xml:space="preserve">Forde, L., &amp; Barry, F. (2017). Point prevalence survey of indwelling urinary catheter use </w:t>
            </w:r>
          </w:p>
          <w:p w:rsidR="00882C14" w:rsidRDefault="00882C14" w:rsidP="00882C14">
            <w:pPr>
              <w:pStyle w:val="xmsonormal"/>
              <w:shd w:val="clear" w:color="auto" w:fill="FFFFFF"/>
              <w:spacing w:before="0" w:beforeAutospacing="0" w:after="160" w:afterAutospacing="0" w:line="235" w:lineRule="atLeast"/>
              <w:jc w:val="center"/>
            </w:pPr>
            <w:r>
              <w:t xml:space="preserve">and appropriateness in patients living at home and receiving a community nursing service in Ireland. </w:t>
            </w:r>
            <w:r>
              <w:rPr>
                <w:i/>
                <w:iCs/>
              </w:rPr>
              <w:t>Journal of infection prevention (19)</w:t>
            </w:r>
            <w:r>
              <w:t xml:space="preserve">3. Pp 123-129. doi:10.1177/1757177417736595 </w:t>
            </w:r>
            <w:hyperlink r:id="rId9" w:history="1">
              <w:r>
                <w:rPr>
                  <w:rStyle w:val="Hyperlink"/>
                </w:rPr>
                <w:t>https://www.ncbi.nlm.nih.gov/pmc/articles/PMC5956698/</w:t>
              </w:r>
            </w:hyperlink>
          </w:p>
          <w:p w:rsidR="00882C14" w:rsidRDefault="00882C14" w:rsidP="00882C14">
            <w:pPr>
              <w:pStyle w:val="xmsonormal"/>
              <w:shd w:val="clear" w:color="auto" w:fill="FFFFFF"/>
              <w:spacing w:before="0" w:beforeAutospacing="0" w:after="160" w:afterAutospacing="0" w:line="235" w:lineRule="atLeast"/>
            </w:pPr>
          </w:p>
          <w:p w:rsidR="00882C14" w:rsidRDefault="00882C14" w:rsidP="00882C14">
            <w:pPr>
              <w:pStyle w:val="xmsonormal"/>
              <w:shd w:val="clear" w:color="auto" w:fill="FFFFFF"/>
              <w:spacing w:before="0" w:beforeAutospacing="0" w:after="160" w:afterAutospacing="0" w:line="235" w:lineRule="atLeast"/>
            </w:pPr>
            <w:r>
              <w:t xml:space="preserve">Gould, C., Umscheid, C., Agarwal, R., Kuntz, G., Pegues, D., &amp; Healthcare Infection </w:t>
            </w:r>
          </w:p>
          <w:p w:rsidR="00882C14" w:rsidRDefault="00882C14" w:rsidP="00882C14">
            <w:pPr>
              <w:pStyle w:val="xmsonormal"/>
              <w:shd w:val="clear" w:color="auto" w:fill="FFFFFF"/>
              <w:spacing w:before="0" w:beforeAutospacing="0" w:after="160" w:afterAutospacing="0" w:line="235" w:lineRule="atLeast"/>
              <w:jc w:val="center"/>
            </w:pPr>
            <w:r>
              <w:t xml:space="preserve">Control Practices Advisory Committee (HICPAC) (2019). Guideline for prevention of catheter-associated urinary tract infections 2009. </w:t>
            </w:r>
            <w:r>
              <w:rPr>
                <w:i/>
                <w:iCs/>
              </w:rPr>
              <w:t xml:space="preserve">Healthcare Infection Control Practices Advisory Committee (HICPAC). </w:t>
            </w:r>
            <w:r>
              <w:t>http://www.cdc.gov/infectioncontrol/guidelines/cauti/</w:t>
            </w:r>
          </w:p>
          <w:p w:rsidR="00882C14" w:rsidRDefault="00882C14" w:rsidP="00882C14">
            <w:pPr>
              <w:pStyle w:val="xmsonormal"/>
              <w:shd w:val="clear" w:color="auto" w:fill="FFFFFF"/>
              <w:spacing w:after="160" w:afterAutospacing="0" w:line="241" w:lineRule="atLeast"/>
              <w:jc w:val="center"/>
              <w:rPr>
                <w:rFonts w:ascii="Segoe UI" w:hAnsi="Segoe UI" w:cs="Segoe UI"/>
                <w:color w:val="201F1E"/>
              </w:rPr>
            </w:pPr>
            <w:r>
              <w:rPr>
                <w:rFonts w:ascii="Segoe UI" w:hAnsi="Segoe UI" w:cs="Segoe UI"/>
                <w:color w:val="201F1E"/>
              </w:rPr>
              <w:t xml:space="preserve">National Healthcare Safety Network &amp; Centers for Disease Control and Prevention, </w:t>
            </w:r>
            <w:bookmarkStart w:id="0" w:name="_GoBack"/>
            <w:bookmarkEnd w:id="0"/>
            <w:r>
              <w:rPr>
                <w:rFonts w:ascii="Segoe UI" w:hAnsi="Segoe UI" w:cs="Segoe UI"/>
                <w:color w:val="201F1E"/>
              </w:rPr>
              <w:t xml:space="preserve">(2010).  National Healthcare Safety Network (NHSN) catheter-associated urinary tract infection (CAUTI) outcome measure. </w:t>
            </w:r>
            <w:hyperlink r:id="rId10" w:history="1">
              <w:r>
                <w:rPr>
                  <w:rStyle w:val="Hyperlink"/>
                  <w:rFonts w:ascii="Segoe UI" w:hAnsi="Segoe UI" w:cs="Segoe UI"/>
                </w:rPr>
                <w:t>https://www.hospitalsafetygrade.org/media/file/CAUTI.pdf</w:t>
              </w:r>
            </w:hyperlink>
          </w:p>
          <w:p w:rsidR="00882C14" w:rsidRDefault="00882C14" w:rsidP="00882C14">
            <w:pPr>
              <w:pStyle w:val="xmsonormal"/>
              <w:shd w:val="clear" w:color="auto" w:fill="FFFFFF"/>
              <w:spacing w:before="0" w:beforeAutospacing="0" w:after="160" w:afterAutospacing="0" w:line="235" w:lineRule="atLeast"/>
              <w:rPr>
                <w:rFonts w:ascii="Segoe UI" w:hAnsi="Segoe UI" w:cs="Segoe UI"/>
                <w:color w:val="201F1E"/>
              </w:rPr>
            </w:pPr>
          </w:p>
          <w:p w:rsidR="00882C14" w:rsidRDefault="00882C14" w:rsidP="00882C14">
            <w:pPr>
              <w:pStyle w:val="xmsonormal"/>
              <w:shd w:val="clear" w:color="auto" w:fill="FFFFFF"/>
              <w:spacing w:before="0" w:beforeAutospacing="0" w:after="0" w:afterAutospacing="0"/>
              <w:rPr>
                <w:rFonts w:ascii="Segoe UI" w:hAnsi="Segoe UI" w:cs="Segoe UI"/>
                <w:color w:val="201F1E"/>
              </w:rPr>
            </w:pPr>
            <w:r>
              <w:rPr>
                <w:rFonts w:ascii="Segoe UI" w:hAnsi="Segoe UI" w:cs="Segoe UI"/>
                <w:color w:val="201F1E"/>
              </w:rPr>
              <w:t xml:space="preserve">Moore, K., &amp; Franklin, L. (2016). Indwelling and intermittent catheterization.  In D. </w:t>
            </w:r>
          </w:p>
          <w:p w:rsidR="00882C14" w:rsidRDefault="00882C14" w:rsidP="00882C14">
            <w:pPr>
              <w:pStyle w:val="xmsonormal"/>
              <w:shd w:val="clear" w:color="auto" w:fill="FFFFFF"/>
              <w:spacing w:before="0" w:beforeAutospacing="0" w:after="0" w:afterAutospacing="0"/>
              <w:jc w:val="center"/>
              <w:rPr>
                <w:rFonts w:ascii="Segoe UI" w:hAnsi="Segoe UI" w:cs="Segoe UI"/>
                <w:color w:val="201F1E"/>
              </w:rPr>
            </w:pPr>
            <w:r>
              <w:rPr>
                <w:rFonts w:ascii="Segoe UI" w:hAnsi="Segoe UI" w:cs="Segoe UI"/>
                <w:color w:val="201F1E"/>
              </w:rPr>
              <w:t>Doughty &amp; K. Moore (Eds.). </w:t>
            </w:r>
            <w:r>
              <w:rPr>
                <w:rFonts w:ascii="Segoe UI" w:hAnsi="Segoe UI" w:cs="Segoe UI"/>
                <w:i/>
                <w:iCs/>
                <w:color w:val="201F1E"/>
              </w:rPr>
              <w:t>Wound, Ostomy and Continence Nurses Society</w:t>
            </w:r>
            <w:r>
              <w:rPr>
                <w:rFonts w:ascii="Segoe UI" w:hAnsi="Segoe UI" w:cs="Segoe UI"/>
                <w:i/>
                <w:iCs/>
                <w:color w:val="201F1E"/>
                <w:vertAlign w:val="superscript"/>
              </w:rPr>
              <w:t> TM</w:t>
            </w:r>
            <w:r>
              <w:rPr>
                <w:rFonts w:ascii="Segoe UI" w:hAnsi="Segoe UI" w:cs="Segoe UI"/>
                <w:i/>
                <w:iCs/>
                <w:color w:val="201F1E"/>
              </w:rPr>
              <w:t> core curriculum: Continence management </w:t>
            </w:r>
            <w:r>
              <w:rPr>
                <w:rFonts w:ascii="Segoe UI" w:hAnsi="Segoe UI" w:cs="Segoe UI"/>
                <w:color w:val="201F1E"/>
              </w:rPr>
              <w:t>(pp232-246). Wolters-Kluwer.</w:t>
            </w:r>
          </w:p>
          <w:p w:rsidR="00B40FA0" w:rsidRDefault="00B40FA0"/>
        </w:tc>
      </w:tr>
    </w:tbl>
    <w:p w:rsidR="00436B53" w:rsidRDefault="00436B53" w:rsidP="00B40FA0">
      <w:pPr>
        <w:rPr>
          <w:rFonts w:ascii="Calibri" w:hAnsi="Calibri"/>
          <w:b/>
          <w:bCs/>
          <w:color w:val="FF0000"/>
          <w:sz w:val="20"/>
          <w:szCs w:val="20"/>
        </w:rPr>
      </w:pPr>
    </w:p>
    <w:p w:rsidR="00347CB3" w:rsidRDefault="00347CB3" w:rsidP="00B40FA0">
      <w:pPr>
        <w:rPr>
          <w:rFonts w:ascii="Calibri" w:hAnsi="Calibri"/>
          <w:b/>
          <w:bCs/>
          <w:sz w:val="20"/>
          <w:szCs w:val="20"/>
        </w:rPr>
      </w:pPr>
    </w:p>
    <w:p w:rsidR="008F1277" w:rsidRDefault="008F1277" w:rsidP="00B40FA0">
      <w:pPr>
        <w:rPr>
          <w:rFonts w:ascii="Calibri" w:hAnsi="Calibri"/>
          <w:b/>
          <w:bCs/>
          <w:sz w:val="20"/>
          <w:szCs w:val="20"/>
        </w:rPr>
      </w:pPr>
    </w:p>
    <w:p w:rsidR="00B40FA0" w:rsidRPr="00544A7B" w:rsidRDefault="008F1277" w:rsidP="00B40FA0">
      <w:pPr>
        <w:rPr>
          <w:rFonts w:ascii="Calibri" w:hAnsi="Calibri"/>
          <w:b/>
          <w:bCs/>
          <w:color w:val="FF0000"/>
          <w:sz w:val="20"/>
          <w:szCs w:val="20"/>
        </w:rPr>
      </w:pPr>
      <w:r>
        <w:rPr>
          <w:rFonts w:ascii="Calibri" w:hAnsi="Calibri"/>
          <w:b/>
          <w:bCs/>
          <w:sz w:val="20"/>
          <w:szCs w:val="20"/>
        </w:rPr>
        <w:t>Points</w:t>
      </w:r>
      <w:r w:rsidR="00B40FA0" w:rsidRPr="00E823D8">
        <w:rPr>
          <w:rFonts w:ascii="Calibri" w:hAnsi="Calibri"/>
          <w:b/>
          <w:bCs/>
          <w:sz w:val="20"/>
          <w:szCs w:val="20"/>
        </w:rPr>
        <w:t xml:space="preserve"> criteria: </w:t>
      </w:r>
    </w:p>
    <w:tbl>
      <w:tblPr>
        <w:tblW w:w="5085"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602"/>
        <w:gridCol w:w="2602"/>
        <w:gridCol w:w="2602"/>
        <w:gridCol w:w="2602"/>
        <w:gridCol w:w="2823"/>
      </w:tblGrid>
      <w:tr w:rsidR="006F1D09" w:rsidRPr="00E823D8" w:rsidTr="009126E2">
        <w:trPr>
          <w:tblHeader/>
          <w:tblCellSpacing w:w="0" w:type="dxa"/>
          <w:jc w:val="center"/>
        </w:trPr>
        <w:tc>
          <w:tcPr>
            <w:tcW w:w="983" w:type="pct"/>
            <w:shd w:val="clear" w:color="auto" w:fill="EFE7D8"/>
            <w:vAlign w:val="center"/>
          </w:tcPr>
          <w:p w:rsidR="006F1D09" w:rsidRPr="00FC38C4" w:rsidRDefault="006F1D09" w:rsidP="009126E2">
            <w:pPr>
              <w:jc w:val="center"/>
              <w:rPr>
                <w:b/>
                <w:bCs/>
                <w:sz w:val="20"/>
                <w:szCs w:val="20"/>
              </w:rPr>
            </w:pPr>
            <w:r w:rsidRPr="00FC38C4">
              <w:rPr>
                <w:b/>
                <w:bCs/>
                <w:sz w:val="20"/>
                <w:szCs w:val="20"/>
              </w:rPr>
              <w:t>Criteria</w:t>
            </w:r>
          </w:p>
        </w:tc>
        <w:tc>
          <w:tcPr>
            <w:tcW w:w="983" w:type="pct"/>
            <w:shd w:val="clear" w:color="auto" w:fill="EFE7D8"/>
            <w:vAlign w:val="center"/>
          </w:tcPr>
          <w:p w:rsidR="006F1D09" w:rsidRPr="00FC38C4" w:rsidRDefault="006F1D09" w:rsidP="009126E2">
            <w:pPr>
              <w:jc w:val="center"/>
              <w:rPr>
                <w:b/>
                <w:bCs/>
                <w:sz w:val="20"/>
                <w:szCs w:val="20"/>
              </w:rPr>
            </w:pPr>
            <w:r w:rsidRPr="00FC38C4">
              <w:rPr>
                <w:b/>
                <w:bCs/>
                <w:sz w:val="20"/>
                <w:szCs w:val="20"/>
              </w:rPr>
              <w:t>Under performance</w:t>
            </w:r>
          </w:p>
          <w:p w:rsidR="006F1D09" w:rsidRPr="00FC38C4" w:rsidRDefault="006F1D09" w:rsidP="009126E2">
            <w:pPr>
              <w:jc w:val="center"/>
              <w:rPr>
                <w:b/>
                <w:bCs/>
                <w:sz w:val="20"/>
                <w:szCs w:val="20"/>
              </w:rPr>
            </w:pPr>
            <w:r w:rsidRPr="00347CB3">
              <w:rPr>
                <w:b/>
                <w:bCs/>
                <w:sz w:val="20"/>
                <w:szCs w:val="20"/>
              </w:rPr>
              <w:t>&lt;3 points per criteria</w:t>
            </w:r>
          </w:p>
        </w:tc>
        <w:tc>
          <w:tcPr>
            <w:tcW w:w="983" w:type="pct"/>
            <w:shd w:val="clear" w:color="auto" w:fill="EFE7D8"/>
            <w:vAlign w:val="center"/>
          </w:tcPr>
          <w:p w:rsidR="006F1D09" w:rsidRPr="00FC38C4" w:rsidRDefault="006F1D09" w:rsidP="009126E2">
            <w:pPr>
              <w:jc w:val="center"/>
              <w:rPr>
                <w:b/>
                <w:bCs/>
                <w:sz w:val="20"/>
                <w:szCs w:val="20"/>
              </w:rPr>
            </w:pPr>
            <w:r w:rsidRPr="00FC38C4">
              <w:rPr>
                <w:b/>
                <w:bCs/>
                <w:sz w:val="20"/>
                <w:szCs w:val="20"/>
              </w:rPr>
              <w:t>Basic</w:t>
            </w:r>
          </w:p>
          <w:p w:rsidR="006F1D09" w:rsidRPr="00FC38C4" w:rsidRDefault="006F1D09" w:rsidP="009126E2">
            <w:pPr>
              <w:jc w:val="center"/>
              <w:rPr>
                <w:b/>
                <w:bCs/>
                <w:sz w:val="20"/>
                <w:szCs w:val="20"/>
              </w:rPr>
            </w:pPr>
            <w:r w:rsidRPr="00347CB3">
              <w:rPr>
                <w:b/>
                <w:bCs/>
                <w:sz w:val="20"/>
                <w:szCs w:val="20"/>
              </w:rPr>
              <w:t>3 – 3.9 points per criteria</w:t>
            </w:r>
          </w:p>
        </w:tc>
        <w:tc>
          <w:tcPr>
            <w:tcW w:w="983" w:type="pct"/>
            <w:shd w:val="clear" w:color="auto" w:fill="EFE7D8"/>
            <w:vAlign w:val="center"/>
          </w:tcPr>
          <w:p w:rsidR="006F1D09" w:rsidRPr="00FC38C4" w:rsidRDefault="006F1D09" w:rsidP="009126E2">
            <w:pPr>
              <w:jc w:val="center"/>
              <w:rPr>
                <w:b/>
                <w:bCs/>
                <w:sz w:val="20"/>
                <w:szCs w:val="20"/>
              </w:rPr>
            </w:pPr>
            <w:r w:rsidRPr="00FC38C4">
              <w:rPr>
                <w:b/>
                <w:bCs/>
                <w:sz w:val="20"/>
                <w:szCs w:val="20"/>
              </w:rPr>
              <w:t>Proficient</w:t>
            </w:r>
          </w:p>
          <w:p w:rsidR="006F1D09" w:rsidRPr="00FC38C4" w:rsidRDefault="006F1D09" w:rsidP="009126E2">
            <w:pPr>
              <w:jc w:val="center"/>
              <w:rPr>
                <w:b/>
                <w:bCs/>
                <w:sz w:val="20"/>
                <w:szCs w:val="20"/>
              </w:rPr>
            </w:pPr>
            <w:r w:rsidRPr="00347CB3">
              <w:rPr>
                <w:b/>
                <w:bCs/>
                <w:sz w:val="20"/>
                <w:szCs w:val="20"/>
              </w:rPr>
              <w:t>4.0 – 4.4 points per criteria</w:t>
            </w:r>
          </w:p>
        </w:tc>
        <w:tc>
          <w:tcPr>
            <w:tcW w:w="1067" w:type="pct"/>
            <w:shd w:val="clear" w:color="auto" w:fill="EFE7D8"/>
            <w:vAlign w:val="center"/>
          </w:tcPr>
          <w:p w:rsidR="006F1D09" w:rsidRPr="00FC38C4" w:rsidRDefault="006F1D09" w:rsidP="009126E2">
            <w:pPr>
              <w:jc w:val="center"/>
              <w:rPr>
                <w:b/>
                <w:bCs/>
                <w:sz w:val="20"/>
                <w:szCs w:val="20"/>
              </w:rPr>
            </w:pPr>
            <w:r w:rsidRPr="00FC38C4">
              <w:rPr>
                <w:b/>
                <w:bCs/>
                <w:sz w:val="20"/>
                <w:szCs w:val="20"/>
              </w:rPr>
              <w:t>Distinguished</w:t>
            </w:r>
          </w:p>
          <w:p w:rsidR="006F1D09" w:rsidRPr="00FC38C4" w:rsidRDefault="006F1D09" w:rsidP="009126E2">
            <w:pPr>
              <w:jc w:val="center"/>
              <w:rPr>
                <w:b/>
                <w:bCs/>
                <w:sz w:val="20"/>
                <w:szCs w:val="20"/>
              </w:rPr>
            </w:pPr>
            <w:r w:rsidRPr="00347CB3">
              <w:rPr>
                <w:b/>
                <w:bCs/>
                <w:sz w:val="20"/>
                <w:szCs w:val="20"/>
              </w:rPr>
              <w:t>4.5 – 5 points per criteria</w:t>
            </w:r>
          </w:p>
        </w:tc>
      </w:tr>
      <w:tr w:rsidR="006F1D09" w:rsidRPr="00E823D8" w:rsidTr="009126E2">
        <w:trPr>
          <w:tblCellSpacing w:w="0" w:type="dxa"/>
          <w:jc w:val="center"/>
        </w:trPr>
        <w:tc>
          <w:tcPr>
            <w:tcW w:w="983" w:type="pct"/>
            <w:vAlign w:val="center"/>
          </w:tcPr>
          <w:p w:rsidR="006F1D09" w:rsidRPr="00FC38C4" w:rsidRDefault="006F1D09" w:rsidP="009126E2">
            <w:pPr>
              <w:rPr>
                <w:sz w:val="20"/>
                <w:szCs w:val="20"/>
              </w:rPr>
            </w:pPr>
            <w:r w:rsidRPr="00FC38C4">
              <w:rPr>
                <w:b/>
                <w:bCs/>
                <w:sz w:val="20"/>
                <w:szCs w:val="20"/>
              </w:rPr>
              <w:t>Required content objectives</w:t>
            </w:r>
          </w:p>
        </w:tc>
        <w:tc>
          <w:tcPr>
            <w:tcW w:w="983" w:type="pct"/>
          </w:tcPr>
          <w:p w:rsidR="006F1D09" w:rsidRPr="00FC38C4" w:rsidRDefault="006F1D09" w:rsidP="009126E2">
            <w:pPr>
              <w:rPr>
                <w:sz w:val="20"/>
                <w:szCs w:val="20"/>
              </w:rPr>
            </w:pPr>
            <w:r w:rsidRPr="00FC38C4">
              <w:rPr>
                <w:sz w:val="20"/>
                <w:szCs w:val="20"/>
              </w:rPr>
              <w:t>Content objectives are missing or sparsely covered.</w:t>
            </w:r>
            <w:r>
              <w:rPr>
                <w:sz w:val="20"/>
                <w:szCs w:val="20"/>
              </w:rPr>
              <w:t xml:space="preserve"> </w:t>
            </w:r>
          </w:p>
        </w:tc>
        <w:tc>
          <w:tcPr>
            <w:tcW w:w="983" w:type="pct"/>
          </w:tcPr>
          <w:p w:rsidR="006F1D09" w:rsidRPr="00FC38C4" w:rsidRDefault="006F1D09" w:rsidP="009126E2">
            <w:pPr>
              <w:rPr>
                <w:sz w:val="20"/>
                <w:szCs w:val="20"/>
              </w:rPr>
            </w:pPr>
            <w:r w:rsidRPr="00FC38C4">
              <w:rPr>
                <w:sz w:val="20"/>
                <w:szCs w:val="20"/>
              </w:rPr>
              <w:t>Content objectives are not consistently addressed. Demonstrates minimal understanding of content.</w:t>
            </w:r>
            <w:r>
              <w:rPr>
                <w:sz w:val="20"/>
                <w:szCs w:val="20"/>
              </w:rPr>
              <w:t xml:space="preserve"> </w:t>
            </w:r>
          </w:p>
        </w:tc>
        <w:tc>
          <w:tcPr>
            <w:tcW w:w="983" w:type="pct"/>
          </w:tcPr>
          <w:p w:rsidR="006F1D09" w:rsidRPr="00FC38C4" w:rsidRDefault="006F1D09" w:rsidP="009126E2">
            <w:pPr>
              <w:rPr>
                <w:sz w:val="20"/>
                <w:szCs w:val="20"/>
              </w:rPr>
            </w:pPr>
            <w:r w:rsidRPr="00FC38C4">
              <w:rPr>
                <w:sz w:val="20"/>
                <w:szCs w:val="20"/>
              </w:rPr>
              <w:t xml:space="preserve">Content objectives consistently addressed. Demonstrates understanding of content. </w:t>
            </w:r>
          </w:p>
        </w:tc>
        <w:tc>
          <w:tcPr>
            <w:tcW w:w="1067" w:type="pct"/>
          </w:tcPr>
          <w:p w:rsidR="006F1D09" w:rsidRPr="00FC38C4" w:rsidRDefault="006F1D09" w:rsidP="009126E2">
            <w:pPr>
              <w:rPr>
                <w:sz w:val="20"/>
                <w:szCs w:val="20"/>
              </w:rPr>
            </w:pPr>
            <w:r w:rsidRPr="00FC38C4">
              <w:rPr>
                <w:sz w:val="20"/>
                <w:szCs w:val="20"/>
              </w:rPr>
              <w:t xml:space="preserve">Content objectives consistently addressed. Demonstrates mastery of content. </w:t>
            </w:r>
          </w:p>
        </w:tc>
      </w:tr>
      <w:tr w:rsidR="006F1D09" w:rsidRPr="00E823D8" w:rsidTr="009126E2">
        <w:trPr>
          <w:tblCellSpacing w:w="0" w:type="dxa"/>
          <w:jc w:val="center"/>
        </w:trPr>
        <w:tc>
          <w:tcPr>
            <w:tcW w:w="983" w:type="pct"/>
            <w:vAlign w:val="center"/>
          </w:tcPr>
          <w:p w:rsidR="006F1D09" w:rsidRPr="00FC38C4" w:rsidRDefault="006F1D09" w:rsidP="009126E2">
            <w:pPr>
              <w:rPr>
                <w:sz w:val="20"/>
                <w:szCs w:val="20"/>
              </w:rPr>
            </w:pPr>
            <w:r w:rsidRPr="00FC38C4">
              <w:rPr>
                <w:b/>
                <w:bCs/>
                <w:sz w:val="20"/>
                <w:szCs w:val="20"/>
              </w:rPr>
              <w:t>Academic writing standards</w:t>
            </w:r>
          </w:p>
        </w:tc>
        <w:tc>
          <w:tcPr>
            <w:tcW w:w="983" w:type="pct"/>
          </w:tcPr>
          <w:p w:rsidR="006F1D09" w:rsidRPr="00FC38C4" w:rsidRDefault="006F1D09" w:rsidP="009126E2">
            <w:pPr>
              <w:rPr>
                <w:sz w:val="20"/>
                <w:szCs w:val="20"/>
              </w:rPr>
            </w:pPr>
            <w:r w:rsidRPr="00FC38C4">
              <w:rPr>
                <w:sz w:val="20"/>
                <w:szCs w:val="20"/>
              </w:rPr>
              <w:t xml:space="preserve">Writing lacks scholarly tone &amp; focus. Sparse content. Multiple grammatical, spelling, &amp; factual errors. </w:t>
            </w:r>
            <w:r>
              <w:rPr>
                <w:sz w:val="20"/>
                <w:szCs w:val="20"/>
              </w:rPr>
              <w:t>Reliance on bullet points rather than effective writing in speaker notes. 4 or more direct quotes per project.</w:t>
            </w:r>
          </w:p>
        </w:tc>
        <w:tc>
          <w:tcPr>
            <w:tcW w:w="983" w:type="pct"/>
          </w:tcPr>
          <w:p w:rsidR="006F1D09" w:rsidRPr="00FC38C4" w:rsidRDefault="006F1D09" w:rsidP="009126E2">
            <w:pPr>
              <w:rPr>
                <w:sz w:val="20"/>
                <w:szCs w:val="20"/>
              </w:rPr>
            </w:pPr>
            <w:r w:rsidRPr="00FC38C4">
              <w:rPr>
                <w:sz w:val="20"/>
                <w:szCs w:val="20"/>
              </w:rPr>
              <w:t>Writing is unclear and/or disorganized. Inconsistent scholarly tone. Inadequate depth of content. Grammatical and spelling errors.</w:t>
            </w:r>
            <w:r>
              <w:rPr>
                <w:sz w:val="20"/>
                <w:szCs w:val="20"/>
              </w:rPr>
              <w:t xml:space="preserve"> </w:t>
            </w:r>
            <w:r>
              <w:rPr>
                <w:rFonts w:ascii="Calibri" w:hAnsi="Calibri"/>
                <w:sz w:val="18"/>
                <w:szCs w:val="18"/>
              </w:rPr>
              <w:t>No more than 3 direct quote of</w:t>
            </w:r>
            <w:r w:rsidRPr="003E66B7">
              <w:rPr>
                <w:rFonts w:ascii="Calibri" w:hAnsi="Calibri"/>
                <w:sz w:val="18"/>
                <w:szCs w:val="18"/>
              </w:rPr>
              <w:t xml:space="preserve"> less </w:t>
            </w:r>
            <w:r>
              <w:rPr>
                <w:rFonts w:ascii="Calibri" w:hAnsi="Calibri"/>
                <w:sz w:val="18"/>
                <w:szCs w:val="18"/>
              </w:rPr>
              <w:t>than 40 words per project.</w:t>
            </w:r>
          </w:p>
        </w:tc>
        <w:tc>
          <w:tcPr>
            <w:tcW w:w="983" w:type="pct"/>
          </w:tcPr>
          <w:p w:rsidR="006F1D09" w:rsidRPr="00FC38C4" w:rsidRDefault="006F1D09" w:rsidP="009126E2">
            <w:pPr>
              <w:rPr>
                <w:sz w:val="20"/>
                <w:szCs w:val="20"/>
              </w:rPr>
            </w:pPr>
            <w:r w:rsidRPr="00FC38C4">
              <w:rPr>
                <w:sz w:val="20"/>
                <w:szCs w:val="20"/>
              </w:rPr>
              <w:t xml:space="preserve">Writing demonstrates general exploration of content. </w:t>
            </w:r>
            <w:r>
              <w:rPr>
                <w:sz w:val="20"/>
                <w:szCs w:val="20"/>
              </w:rPr>
              <w:t>Responses</w:t>
            </w:r>
            <w:r w:rsidRPr="00FC38C4">
              <w:rPr>
                <w:sz w:val="20"/>
                <w:szCs w:val="20"/>
              </w:rPr>
              <w:t xml:space="preserve"> are clearly written using scholarly tone. Few grammatical and/or spelling errors.</w:t>
            </w:r>
            <w:r>
              <w:rPr>
                <w:sz w:val="20"/>
                <w:szCs w:val="20"/>
              </w:rPr>
              <w:t xml:space="preserve"> </w:t>
            </w:r>
            <w:r>
              <w:rPr>
                <w:rFonts w:ascii="Calibri" w:hAnsi="Calibri"/>
                <w:sz w:val="18"/>
                <w:szCs w:val="18"/>
              </w:rPr>
              <w:t>No more than 2 direct quote of</w:t>
            </w:r>
            <w:r w:rsidRPr="003E66B7">
              <w:rPr>
                <w:rFonts w:ascii="Calibri" w:hAnsi="Calibri"/>
                <w:sz w:val="18"/>
                <w:szCs w:val="18"/>
              </w:rPr>
              <w:t xml:space="preserve"> less </w:t>
            </w:r>
            <w:r>
              <w:rPr>
                <w:rFonts w:ascii="Calibri" w:hAnsi="Calibri"/>
                <w:sz w:val="18"/>
                <w:szCs w:val="18"/>
              </w:rPr>
              <w:t>than 40 words per project.</w:t>
            </w:r>
          </w:p>
        </w:tc>
        <w:tc>
          <w:tcPr>
            <w:tcW w:w="1067" w:type="pct"/>
          </w:tcPr>
          <w:p w:rsidR="006F1D09" w:rsidRPr="00FC38C4" w:rsidRDefault="006F1D09" w:rsidP="009126E2">
            <w:pPr>
              <w:rPr>
                <w:sz w:val="20"/>
                <w:szCs w:val="20"/>
              </w:rPr>
            </w:pPr>
            <w:r w:rsidRPr="00FC38C4">
              <w:rPr>
                <w:sz w:val="20"/>
                <w:szCs w:val="20"/>
              </w:rPr>
              <w:t xml:space="preserve">Writing demonstrates comprehensive exploration of content. </w:t>
            </w:r>
            <w:r>
              <w:rPr>
                <w:sz w:val="20"/>
                <w:szCs w:val="20"/>
              </w:rPr>
              <w:t>Responses</w:t>
            </w:r>
            <w:r w:rsidRPr="00FC38C4">
              <w:rPr>
                <w:sz w:val="20"/>
                <w:szCs w:val="20"/>
              </w:rPr>
              <w:t xml:space="preserve"> are clearly written using scholarly tone. Rare grammatical and/or spelling errors.</w:t>
            </w:r>
            <w:r>
              <w:rPr>
                <w:sz w:val="20"/>
                <w:szCs w:val="20"/>
              </w:rPr>
              <w:t xml:space="preserve"> </w:t>
            </w:r>
            <w:r>
              <w:rPr>
                <w:rFonts w:ascii="Calibri" w:hAnsi="Calibri"/>
                <w:sz w:val="18"/>
                <w:szCs w:val="18"/>
              </w:rPr>
              <w:t>No more than 1 direct quote of</w:t>
            </w:r>
            <w:r w:rsidRPr="003E66B7">
              <w:rPr>
                <w:rFonts w:ascii="Calibri" w:hAnsi="Calibri"/>
                <w:sz w:val="18"/>
                <w:szCs w:val="18"/>
              </w:rPr>
              <w:t xml:space="preserve"> less </w:t>
            </w:r>
            <w:r>
              <w:rPr>
                <w:rFonts w:ascii="Calibri" w:hAnsi="Calibri"/>
                <w:sz w:val="18"/>
                <w:szCs w:val="18"/>
              </w:rPr>
              <w:t>than 40 words per project.</w:t>
            </w:r>
          </w:p>
        </w:tc>
      </w:tr>
      <w:tr w:rsidR="006F1D09" w:rsidRPr="00E823D8" w:rsidTr="009126E2">
        <w:trPr>
          <w:tblCellSpacing w:w="0" w:type="dxa"/>
          <w:jc w:val="center"/>
        </w:trPr>
        <w:tc>
          <w:tcPr>
            <w:tcW w:w="983" w:type="pct"/>
            <w:vAlign w:val="center"/>
          </w:tcPr>
          <w:p w:rsidR="006F1D09" w:rsidRPr="00FC38C4" w:rsidRDefault="006F1D09" w:rsidP="009126E2">
            <w:pPr>
              <w:rPr>
                <w:b/>
                <w:bCs/>
                <w:sz w:val="20"/>
                <w:szCs w:val="20"/>
              </w:rPr>
            </w:pPr>
            <w:r w:rsidRPr="00FC38C4">
              <w:rPr>
                <w:b/>
                <w:bCs/>
                <w:sz w:val="20"/>
                <w:szCs w:val="20"/>
              </w:rPr>
              <w:t xml:space="preserve">APA formatting </w:t>
            </w:r>
          </w:p>
        </w:tc>
        <w:tc>
          <w:tcPr>
            <w:tcW w:w="983" w:type="pct"/>
          </w:tcPr>
          <w:p w:rsidR="006F1D09" w:rsidRPr="00FC38C4" w:rsidRDefault="006F1D09" w:rsidP="009126E2">
            <w:pPr>
              <w:rPr>
                <w:sz w:val="20"/>
                <w:szCs w:val="20"/>
              </w:rPr>
            </w:pPr>
            <w:r w:rsidRPr="00FC38C4">
              <w:rPr>
                <w:sz w:val="20"/>
                <w:szCs w:val="20"/>
              </w:rPr>
              <w:t>References and citations have multiple errors or are missing.</w:t>
            </w:r>
          </w:p>
        </w:tc>
        <w:tc>
          <w:tcPr>
            <w:tcW w:w="983" w:type="pct"/>
          </w:tcPr>
          <w:p w:rsidR="006F1D09" w:rsidRPr="00FC38C4" w:rsidRDefault="006F1D09" w:rsidP="009126E2">
            <w:pPr>
              <w:rPr>
                <w:sz w:val="20"/>
                <w:szCs w:val="20"/>
              </w:rPr>
            </w:pPr>
            <w:r w:rsidRPr="00FC38C4">
              <w:rPr>
                <w:sz w:val="20"/>
                <w:szCs w:val="20"/>
              </w:rPr>
              <w:t>References and citations have errors.</w:t>
            </w:r>
          </w:p>
        </w:tc>
        <w:tc>
          <w:tcPr>
            <w:tcW w:w="983" w:type="pct"/>
          </w:tcPr>
          <w:p w:rsidR="006F1D09" w:rsidRPr="00FC38C4" w:rsidRDefault="006F1D09" w:rsidP="009126E2">
            <w:pPr>
              <w:rPr>
                <w:sz w:val="20"/>
                <w:szCs w:val="20"/>
              </w:rPr>
            </w:pPr>
            <w:r w:rsidRPr="00FC38C4">
              <w:rPr>
                <w:sz w:val="20"/>
                <w:szCs w:val="20"/>
              </w:rPr>
              <w:t>References and citations have few errors.</w:t>
            </w:r>
          </w:p>
        </w:tc>
        <w:tc>
          <w:tcPr>
            <w:tcW w:w="1067" w:type="pct"/>
          </w:tcPr>
          <w:p w:rsidR="006F1D09" w:rsidRPr="00FC38C4" w:rsidRDefault="006F1D09" w:rsidP="009126E2">
            <w:pPr>
              <w:rPr>
                <w:sz w:val="20"/>
                <w:szCs w:val="20"/>
              </w:rPr>
            </w:pPr>
            <w:r w:rsidRPr="00FC38C4">
              <w:rPr>
                <w:sz w:val="20"/>
                <w:szCs w:val="20"/>
              </w:rPr>
              <w:t>References and citations have rare errors.</w:t>
            </w:r>
          </w:p>
        </w:tc>
      </w:tr>
    </w:tbl>
    <w:p w:rsidR="006F1D09" w:rsidRDefault="006F1D09"/>
    <w:sectPr w:rsidR="006F1D09" w:rsidSect="00894161">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9E8" w:rsidRDefault="002E09E8" w:rsidP="00B40FA0">
      <w:pPr>
        <w:spacing w:after="0" w:line="240" w:lineRule="auto"/>
      </w:pPr>
      <w:r>
        <w:separator/>
      </w:r>
    </w:p>
  </w:endnote>
  <w:endnote w:type="continuationSeparator" w:id="0">
    <w:p w:rsidR="002E09E8" w:rsidRDefault="002E09E8" w:rsidP="00B4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161" w:rsidRDefault="00894161">
    <w:pPr>
      <w:pStyle w:val="Footer"/>
    </w:pPr>
    <w:r>
      <w:t xml:space="preserve">R.B. Turnbull, Jr. MD School of WOC Nursing Education </w:t>
    </w:r>
  </w:p>
  <w:p w:rsidR="00894161" w:rsidRDefault="00894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9E8" w:rsidRDefault="002E09E8" w:rsidP="00B40FA0">
      <w:pPr>
        <w:spacing w:after="0" w:line="240" w:lineRule="auto"/>
      </w:pPr>
      <w:r>
        <w:separator/>
      </w:r>
    </w:p>
  </w:footnote>
  <w:footnote w:type="continuationSeparator" w:id="0">
    <w:p w:rsidR="002E09E8" w:rsidRDefault="002E09E8" w:rsidP="00B40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FA0" w:rsidRDefault="00894161">
    <w:pPr>
      <w:pStyle w:val="Header"/>
    </w:pPr>
    <w:r>
      <w:rPr>
        <w:noProof/>
      </w:rPr>
      <w:drawing>
        <wp:anchor distT="0" distB="0" distL="114300" distR="114300" simplePos="0" relativeHeight="251663360" behindDoc="1" locked="0" layoutInCell="1" allowOverlap="1" wp14:anchorId="0C29DC6D" wp14:editId="3CF9F347">
          <wp:simplePos x="0" y="0"/>
          <wp:positionH relativeFrom="margin">
            <wp:align>right</wp:align>
          </wp:positionH>
          <wp:positionV relativeFrom="paragraph">
            <wp:posOffset>-121920</wp:posOffset>
          </wp:positionV>
          <wp:extent cx="1096010" cy="330200"/>
          <wp:effectExtent l="0" t="0" r="8890" b="0"/>
          <wp:wrapTight wrapText="bothSides">
            <wp:wrapPolygon edited="0">
              <wp:start x="0" y="0"/>
              <wp:lineTo x="0" y="19938"/>
              <wp:lineTo x="21400" y="19938"/>
              <wp:lineTo x="214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ve Clinic logo.JPG"/>
                  <pic:cNvPicPr/>
                </pic:nvPicPr>
                <pic:blipFill>
                  <a:blip r:embed="rId1">
                    <a:extLst>
                      <a:ext uri="{28A0092B-C50C-407E-A947-70E740481C1C}">
                        <a14:useLocalDpi xmlns:a14="http://schemas.microsoft.com/office/drawing/2010/main" val="0"/>
                      </a:ext>
                    </a:extLst>
                  </a:blip>
                  <a:stretch>
                    <a:fillRect/>
                  </a:stretch>
                </pic:blipFill>
                <pic:spPr>
                  <a:xfrm>
                    <a:off x="0" y="0"/>
                    <a:ext cx="1096010" cy="330200"/>
                  </a:xfrm>
                  <a:prstGeom prst="rect">
                    <a:avLst/>
                  </a:prstGeom>
                </pic:spPr>
              </pic:pic>
            </a:graphicData>
          </a:graphic>
          <wp14:sizeRelH relativeFrom="page">
            <wp14:pctWidth>0</wp14:pctWidth>
          </wp14:sizeRelH>
          <wp14:sizeRelV relativeFrom="page">
            <wp14:pctHeight>0</wp14:pctHeight>
          </wp14:sizeRelV>
        </wp:anchor>
      </w:drawing>
    </w:r>
    <w:sdt>
      <w:sdtPr>
        <w:id w:val="-450714576"/>
        <w:docPartObj>
          <w:docPartGallery w:val="Page Numbers (Margins)"/>
          <w:docPartUnique/>
        </w:docPartObj>
      </w:sdtPr>
      <w:sdtEndPr/>
      <w:sdtContent>
        <w:r w:rsidR="00436B53">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B53" w:rsidRDefault="00436B5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882C14" w:rsidRPr="00882C14">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436B53" w:rsidRDefault="00436B5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882C14" w:rsidRPr="00882C14">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47CB3" w:rsidRPr="00347CB3">
      <w:rPr>
        <w:b/>
        <w:color w:val="000000" w:themeColor="text1"/>
      </w:rPr>
      <w:t xml:space="preserve"> </w:t>
    </w:r>
    <w:r w:rsidR="00347CB3">
      <w:rPr>
        <w:b/>
        <w:color w:val="000000" w:themeColor="text1"/>
      </w:rPr>
      <w:t>Preventing and treating CAUTI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3125E"/>
    <w:multiLevelType w:val="hybridMultilevel"/>
    <w:tmpl w:val="89BC9880"/>
    <w:lvl w:ilvl="0" w:tplc="85DE38A6">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FA0"/>
    <w:rsid w:val="001E6EEB"/>
    <w:rsid w:val="002C77C2"/>
    <w:rsid w:val="002E09E8"/>
    <w:rsid w:val="00347CB3"/>
    <w:rsid w:val="003E55FA"/>
    <w:rsid w:val="004001E0"/>
    <w:rsid w:val="00436B53"/>
    <w:rsid w:val="0054215A"/>
    <w:rsid w:val="00544A7B"/>
    <w:rsid w:val="00557C84"/>
    <w:rsid w:val="006A2EC4"/>
    <w:rsid w:val="006C3913"/>
    <w:rsid w:val="006F1D09"/>
    <w:rsid w:val="007C19F8"/>
    <w:rsid w:val="00882C14"/>
    <w:rsid w:val="00894161"/>
    <w:rsid w:val="008F1277"/>
    <w:rsid w:val="00950B26"/>
    <w:rsid w:val="00972E70"/>
    <w:rsid w:val="00984418"/>
    <w:rsid w:val="00B40FA0"/>
    <w:rsid w:val="00B915F4"/>
    <w:rsid w:val="00C14ADC"/>
    <w:rsid w:val="00C83FFD"/>
    <w:rsid w:val="00DE5E67"/>
    <w:rsid w:val="00F31679"/>
    <w:rsid w:val="00FC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FA0"/>
    <w:pPr>
      <w:ind w:left="720"/>
      <w:contextualSpacing/>
    </w:pPr>
  </w:style>
  <w:style w:type="paragraph" w:styleId="Header">
    <w:name w:val="header"/>
    <w:basedOn w:val="Normal"/>
    <w:link w:val="HeaderChar"/>
    <w:uiPriority w:val="99"/>
    <w:unhideWhenUsed/>
    <w:rsid w:val="00B40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FA0"/>
  </w:style>
  <w:style w:type="paragraph" w:styleId="Footer">
    <w:name w:val="footer"/>
    <w:basedOn w:val="Normal"/>
    <w:link w:val="FooterChar"/>
    <w:uiPriority w:val="99"/>
    <w:unhideWhenUsed/>
    <w:rsid w:val="00B40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FA0"/>
  </w:style>
  <w:style w:type="paragraph" w:customStyle="1" w:styleId="xmsonormal">
    <w:name w:val="x_msonormal"/>
    <w:basedOn w:val="Normal"/>
    <w:rsid w:val="00882C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2C1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FA0"/>
    <w:pPr>
      <w:ind w:left="720"/>
      <w:contextualSpacing/>
    </w:pPr>
  </w:style>
  <w:style w:type="paragraph" w:styleId="Header">
    <w:name w:val="header"/>
    <w:basedOn w:val="Normal"/>
    <w:link w:val="HeaderChar"/>
    <w:uiPriority w:val="99"/>
    <w:unhideWhenUsed/>
    <w:rsid w:val="00B40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FA0"/>
  </w:style>
  <w:style w:type="paragraph" w:styleId="Footer">
    <w:name w:val="footer"/>
    <w:basedOn w:val="Normal"/>
    <w:link w:val="FooterChar"/>
    <w:uiPriority w:val="99"/>
    <w:unhideWhenUsed/>
    <w:rsid w:val="00B40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FA0"/>
  </w:style>
  <w:style w:type="paragraph" w:customStyle="1" w:styleId="xmsonormal">
    <w:name w:val="x_msonormal"/>
    <w:basedOn w:val="Normal"/>
    <w:rsid w:val="00882C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2C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91585">
      <w:bodyDiv w:val="1"/>
      <w:marLeft w:val="0"/>
      <w:marRight w:val="0"/>
      <w:marTop w:val="0"/>
      <w:marBottom w:val="0"/>
      <w:divBdr>
        <w:top w:val="none" w:sz="0" w:space="0" w:color="auto"/>
        <w:left w:val="none" w:sz="0" w:space="0" w:color="auto"/>
        <w:bottom w:val="none" w:sz="0" w:space="0" w:color="auto"/>
        <w:right w:val="none" w:sz="0" w:space="0" w:color="auto"/>
      </w:divBdr>
    </w:div>
    <w:div w:id="944310871">
      <w:bodyDiv w:val="1"/>
      <w:marLeft w:val="0"/>
      <w:marRight w:val="0"/>
      <w:marTop w:val="0"/>
      <w:marBottom w:val="0"/>
      <w:divBdr>
        <w:top w:val="none" w:sz="0" w:space="0" w:color="auto"/>
        <w:left w:val="none" w:sz="0" w:space="0" w:color="auto"/>
        <w:bottom w:val="none" w:sz="0" w:space="0" w:color="auto"/>
        <w:right w:val="none" w:sz="0" w:space="0" w:color="auto"/>
      </w:divBdr>
    </w:div>
    <w:div w:id="1213688568">
      <w:bodyDiv w:val="1"/>
      <w:marLeft w:val="0"/>
      <w:marRight w:val="0"/>
      <w:marTop w:val="0"/>
      <w:marBottom w:val="0"/>
      <w:divBdr>
        <w:top w:val="none" w:sz="0" w:space="0" w:color="auto"/>
        <w:left w:val="none" w:sz="0" w:space="0" w:color="auto"/>
        <w:bottom w:val="none" w:sz="0" w:space="0" w:color="auto"/>
        <w:right w:val="none" w:sz="0" w:space="0" w:color="auto"/>
      </w:divBdr>
    </w:div>
    <w:div w:id="1306929783">
      <w:bodyDiv w:val="1"/>
      <w:marLeft w:val="0"/>
      <w:marRight w:val="0"/>
      <w:marTop w:val="0"/>
      <w:marBottom w:val="0"/>
      <w:divBdr>
        <w:top w:val="none" w:sz="0" w:space="0" w:color="auto"/>
        <w:left w:val="none" w:sz="0" w:space="0" w:color="auto"/>
        <w:bottom w:val="none" w:sz="0" w:space="0" w:color="auto"/>
        <w:right w:val="none" w:sz="0" w:space="0" w:color="auto"/>
      </w:divBdr>
    </w:div>
    <w:div w:id="1376546807">
      <w:bodyDiv w:val="1"/>
      <w:marLeft w:val="0"/>
      <w:marRight w:val="0"/>
      <w:marTop w:val="0"/>
      <w:marBottom w:val="0"/>
      <w:divBdr>
        <w:top w:val="none" w:sz="0" w:space="0" w:color="auto"/>
        <w:left w:val="none" w:sz="0" w:space="0" w:color="auto"/>
        <w:bottom w:val="none" w:sz="0" w:space="0" w:color="auto"/>
        <w:right w:val="none" w:sz="0" w:space="0" w:color="auto"/>
      </w:divBdr>
    </w:div>
    <w:div w:id="154148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ai/ca_uti/cauti_faqs.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ospitalsafetygrade.org/media/file/CAUTI.pdf" TargetMode="External"/><Relationship Id="rId4" Type="http://schemas.openxmlformats.org/officeDocument/2006/relationships/settings" Target="settings.xml"/><Relationship Id="rId9" Type="http://schemas.openxmlformats.org/officeDocument/2006/relationships/hyperlink" Target="https://www.ncbi.nlm.nih.gov/pmc/articles/PMC595669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Cleveland Clinic</Company>
  <LinksUpToDate>false</LinksUpToDate>
  <CharactersWithSpaces>11686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Stricker, Linda</dc:creator>
  <cp:lastModifiedBy>Nick Wilson</cp:lastModifiedBy>
  <cp:revision>2</cp:revision>
  <dcterms:created xsi:type="dcterms:W3CDTF">2020-09-13T22:09:00Z</dcterms:created>
  <dcterms:modified xsi:type="dcterms:W3CDTF">2020-09-13T22:09:00Z</dcterms:modified>
</cp:coreProperties>
</file>