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B308B" w14:textId="0D60036F" w:rsidR="00DD071F" w:rsidRPr="00A76588" w:rsidRDefault="00DD071F" w:rsidP="00544A7B">
      <w:pPr>
        <w:jc w:val="both"/>
        <w:rPr>
          <w:rFonts w:cstheme="minorHAnsi"/>
          <w:b/>
          <w:sz w:val="24"/>
          <w:szCs w:val="24"/>
          <w:u w:val="single"/>
        </w:rPr>
      </w:pPr>
      <w:r w:rsidRPr="00A76588">
        <w:rPr>
          <w:rFonts w:cstheme="minorHAnsi"/>
          <w:b/>
          <w:sz w:val="24"/>
          <w:szCs w:val="24"/>
          <w:u w:val="single"/>
        </w:rPr>
        <w:t>Ana Maria M. Pingol RN-BC MSN</w:t>
      </w:r>
    </w:p>
    <w:p w14:paraId="40389733" w14:textId="55275B02" w:rsidR="00DD071F" w:rsidRPr="00DD071F" w:rsidRDefault="00544A7B" w:rsidP="00544A7B">
      <w:pPr>
        <w:jc w:val="both"/>
        <w:rPr>
          <w:rFonts w:cstheme="minorHAnsi"/>
          <w:b/>
          <w:color w:val="000000" w:themeColor="text1"/>
          <w:sz w:val="24"/>
          <w:szCs w:val="24"/>
        </w:rPr>
      </w:pPr>
      <w:r w:rsidRPr="00D14636">
        <w:rPr>
          <w:rFonts w:cstheme="minorHAnsi"/>
          <w:b/>
          <w:color w:val="000000" w:themeColor="text1"/>
          <w:sz w:val="24"/>
          <w:szCs w:val="24"/>
        </w:rPr>
        <w:t>Using academic writing standards and APA formatting</w:t>
      </w:r>
      <w:r w:rsidR="00972E70" w:rsidRPr="00D14636">
        <w:rPr>
          <w:rFonts w:cstheme="minorHAnsi"/>
          <w:b/>
          <w:color w:val="000000" w:themeColor="text1"/>
          <w:sz w:val="24"/>
          <w:szCs w:val="24"/>
        </w:rPr>
        <w:t xml:space="preserve"> of references</w:t>
      </w:r>
      <w:r w:rsidRPr="00D14636">
        <w:rPr>
          <w:rFonts w:cstheme="minorHAnsi"/>
          <w:b/>
          <w:color w:val="000000" w:themeColor="text1"/>
          <w:sz w:val="24"/>
          <w:szCs w:val="24"/>
        </w:rPr>
        <w:t>, respond</w:t>
      </w:r>
      <w:r w:rsidR="008F1277" w:rsidRPr="00D14636">
        <w:rPr>
          <w:rFonts w:cstheme="minorHAnsi"/>
          <w:b/>
          <w:color w:val="000000" w:themeColor="text1"/>
          <w:sz w:val="24"/>
          <w:szCs w:val="24"/>
        </w:rPr>
        <w:t xml:space="preserve"> to</w:t>
      </w:r>
      <w:r w:rsidRPr="00D14636">
        <w:rPr>
          <w:rFonts w:cstheme="minorHAnsi"/>
          <w:b/>
          <w:color w:val="000000" w:themeColor="text1"/>
          <w:sz w:val="24"/>
          <w:szCs w:val="24"/>
        </w:rPr>
        <w:t xml:space="preserve"> </w:t>
      </w:r>
      <w:r w:rsidR="008F1277" w:rsidRPr="00D14636">
        <w:rPr>
          <w:rFonts w:cstheme="minorHAnsi"/>
          <w:b/>
          <w:color w:val="000000" w:themeColor="text1"/>
          <w:sz w:val="24"/>
          <w:szCs w:val="24"/>
        </w:rPr>
        <w:t>each of</w:t>
      </w:r>
      <w:r w:rsidRPr="00D14636">
        <w:rPr>
          <w:rFonts w:cstheme="minorHAnsi"/>
          <w:b/>
          <w:color w:val="000000" w:themeColor="text1"/>
          <w:sz w:val="24"/>
          <w:szCs w:val="24"/>
        </w:rPr>
        <w:t xml:space="preserve"> the following learning objectives. </w:t>
      </w:r>
      <w:r w:rsidR="00984418" w:rsidRPr="00D14636">
        <w:rPr>
          <w:rFonts w:cstheme="minorHAnsi"/>
          <w:b/>
          <w:color w:val="000000" w:themeColor="text1"/>
          <w:sz w:val="24"/>
          <w:szCs w:val="24"/>
        </w:rPr>
        <w:t>Using this document,</w:t>
      </w:r>
      <w:r w:rsidR="006C3913" w:rsidRPr="00D14636">
        <w:rPr>
          <w:rFonts w:cstheme="minorHAnsi"/>
          <w:b/>
          <w:color w:val="000000" w:themeColor="text1"/>
          <w:sz w:val="24"/>
          <w:szCs w:val="24"/>
        </w:rPr>
        <w:t xml:space="preserve"> enter the</w:t>
      </w:r>
      <w:r w:rsidR="00984418" w:rsidRPr="00D14636">
        <w:rPr>
          <w:rFonts w:cstheme="minorHAnsi"/>
          <w:b/>
          <w:color w:val="000000" w:themeColor="text1"/>
          <w:sz w:val="24"/>
          <w:szCs w:val="24"/>
        </w:rPr>
        <w:t xml:space="preserve"> r</w:t>
      </w:r>
      <w:r w:rsidR="006C3913" w:rsidRPr="00D14636">
        <w:rPr>
          <w:rFonts w:cstheme="minorHAnsi"/>
          <w:b/>
          <w:color w:val="000000" w:themeColor="text1"/>
          <w:sz w:val="24"/>
          <w:szCs w:val="24"/>
        </w:rPr>
        <w:t xml:space="preserve">esponses </w:t>
      </w:r>
      <w:r w:rsidR="00972E70" w:rsidRPr="00D14636">
        <w:rPr>
          <w:rFonts w:cstheme="minorHAnsi"/>
          <w:b/>
          <w:color w:val="000000" w:themeColor="text1"/>
          <w:sz w:val="24"/>
          <w:szCs w:val="24"/>
        </w:rPr>
        <w:t>next to the corresponding learning objective</w:t>
      </w:r>
      <w:r w:rsidR="008F1277" w:rsidRPr="00D14636">
        <w:rPr>
          <w:rFonts w:cstheme="minorHAnsi"/>
          <w:b/>
          <w:color w:val="000000" w:themeColor="text1"/>
          <w:sz w:val="24"/>
          <w:szCs w:val="24"/>
        </w:rPr>
        <w:t>.</w:t>
      </w:r>
      <w:r w:rsidR="00347CB3" w:rsidRPr="00D14636">
        <w:rPr>
          <w:rFonts w:cstheme="minorHAnsi"/>
          <w:b/>
          <w:color w:val="000000" w:themeColor="text1"/>
          <w:sz w:val="24"/>
          <w:szCs w:val="24"/>
        </w:rPr>
        <w:t xml:space="preserve"> </w:t>
      </w:r>
      <w:r w:rsidR="006C3913" w:rsidRPr="00D14636">
        <w:rPr>
          <w:rFonts w:cstheme="minorHAnsi"/>
          <w:b/>
          <w:color w:val="000000" w:themeColor="text1"/>
          <w:sz w:val="24"/>
          <w:szCs w:val="24"/>
        </w:rPr>
        <w:t xml:space="preserve">Responses should be 150-350 words in length. </w:t>
      </w:r>
      <w:r w:rsidR="00972E70" w:rsidRPr="00D14636">
        <w:rPr>
          <w:rFonts w:cstheme="minorHAnsi"/>
          <w:b/>
          <w:color w:val="000000" w:themeColor="text1"/>
          <w:sz w:val="24"/>
          <w:szCs w:val="24"/>
        </w:rPr>
        <w:t>Scroll down to s</w:t>
      </w:r>
      <w:r w:rsidR="00347CB3" w:rsidRPr="00D14636">
        <w:rPr>
          <w:rFonts w:cstheme="minorHAnsi"/>
          <w:b/>
          <w:color w:val="000000" w:themeColor="text1"/>
          <w:sz w:val="24"/>
          <w:szCs w:val="24"/>
        </w:rPr>
        <w:t>ee assignment rubric</w:t>
      </w:r>
      <w:r w:rsidRPr="00D14636">
        <w:rPr>
          <w:rFonts w:cstheme="minorHAnsi"/>
          <w:b/>
          <w:color w:val="000000" w:themeColor="text1"/>
          <w:sz w:val="24"/>
          <w:szCs w:val="24"/>
        </w:rPr>
        <w:t xml:space="preserve"> for specific details </w:t>
      </w:r>
      <w:r w:rsidR="008F1277" w:rsidRPr="00D14636">
        <w:rPr>
          <w:rFonts w:cstheme="minorHAnsi"/>
          <w:b/>
          <w:color w:val="000000" w:themeColor="text1"/>
          <w:sz w:val="24"/>
          <w:szCs w:val="24"/>
        </w:rPr>
        <w:t xml:space="preserve">on how </w:t>
      </w:r>
      <w:r w:rsidR="00972E70" w:rsidRPr="00D14636">
        <w:rPr>
          <w:rFonts w:cstheme="minorHAnsi"/>
          <w:b/>
          <w:color w:val="000000" w:themeColor="text1"/>
          <w:sz w:val="24"/>
          <w:szCs w:val="24"/>
        </w:rPr>
        <w:t xml:space="preserve">the project will be assessed and </w:t>
      </w:r>
      <w:r w:rsidR="00950B26" w:rsidRPr="00D14636">
        <w:rPr>
          <w:rFonts w:cstheme="minorHAnsi"/>
          <w:b/>
          <w:color w:val="000000" w:themeColor="text1"/>
          <w:sz w:val="24"/>
          <w:szCs w:val="24"/>
        </w:rPr>
        <w:t xml:space="preserve">how </w:t>
      </w:r>
      <w:proofErr w:type="gramStart"/>
      <w:r w:rsidR="00972E70" w:rsidRPr="00D14636">
        <w:rPr>
          <w:rFonts w:cstheme="minorHAnsi"/>
          <w:b/>
          <w:color w:val="000000" w:themeColor="text1"/>
          <w:sz w:val="24"/>
          <w:szCs w:val="24"/>
        </w:rPr>
        <w:t>the</w:t>
      </w:r>
      <w:proofErr w:type="gramEnd"/>
      <w:r w:rsidR="00972E70" w:rsidRPr="00D14636">
        <w:rPr>
          <w:rFonts w:cstheme="minorHAnsi"/>
          <w:b/>
          <w:color w:val="000000" w:themeColor="text1"/>
          <w:sz w:val="24"/>
          <w:szCs w:val="24"/>
        </w:rPr>
        <w:t xml:space="preserve"> will be points awarded</w:t>
      </w:r>
      <w:r w:rsidRPr="00D14636">
        <w:rPr>
          <w:rFonts w:cstheme="minorHAnsi"/>
          <w:b/>
          <w:color w:val="000000" w:themeColor="text1"/>
          <w:sz w:val="24"/>
          <w:szCs w:val="24"/>
        </w:rPr>
        <w:t>.</w:t>
      </w:r>
      <w:r w:rsidR="006A2EC4" w:rsidRPr="00D14636">
        <w:rPr>
          <w:rFonts w:cstheme="minorHAnsi"/>
          <w:b/>
          <w:color w:val="000000" w:themeColor="text1"/>
          <w:sz w:val="24"/>
          <w:szCs w:val="24"/>
        </w:rPr>
        <w:t xml:space="preserve"> </w:t>
      </w:r>
      <w:r w:rsidR="00984418" w:rsidRPr="00D14636">
        <w:rPr>
          <w:rFonts w:cstheme="minorHAnsi"/>
          <w:b/>
          <w:color w:val="000000" w:themeColor="text1"/>
          <w:sz w:val="24"/>
          <w:szCs w:val="24"/>
        </w:rPr>
        <w:t xml:space="preserve">Save the completed document as the assignment title and submit to the </w:t>
      </w:r>
      <w:proofErr w:type="spellStart"/>
      <w:r w:rsidR="00984418" w:rsidRPr="00D14636">
        <w:rPr>
          <w:rFonts w:cstheme="minorHAnsi"/>
          <w:b/>
          <w:color w:val="000000" w:themeColor="text1"/>
          <w:sz w:val="24"/>
          <w:szCs w:val="24"/>
        </w:rPr>
        <w:t>dropbox</w:t>
      </w:r>
      <w:proofErr w:type="spellEnd"/>
      <w:r w:rsidR="00984418" w:rsidRPr="00D14636">
        <w:rPr>
          <w:rFonts w:cstheme="minorHAnsi"/>
          <w:b/>
          <w:color w:val="000000" w:themeColor="text1"/>
          <w:sz w:val="24"/>
          <w:szCs w:val="24"/>
        </w:rPr>
        <w:t>.</w:t>
      </w:r>
    </w:p>
    <w:tbl>
      <w:tblPr>
        <w:tblStyle w:val="TableGrid"/>
        <w:tblW w:w="13140" w:type="dxa"/>
        <w:tblInd w:w="-95" w:type="dxa"/>
        <w:tblLook w:val="04A0" w:firstRow="1" w:lastRow="0" w:firstColumn="1" w:lastColumn="0" w:noHBand="0" w:noVBand="1"/>
      </w:tblPr>
      <w:tblGrid>
        <w:gridCol w:w="3990"/>
        <w:gridCol w:w="9150"/>
      </w:tblGrid>
      <w:tr w:rsidR="00544A7B" w:rsidRPr="00D14636" w14:paraId="15C86FE8" w14:textId="77777777" w:rsidTr="006F1D09">
        <w:tc>
          <w:tcPr>
            <w:tcW w:w="4140" w:type="dxa"/>
            <w:shd w:val="clear" w:color="auto" w:fill="FFD966" w:themeFill="accent4" w:themeFillTint="99"/>
          </w:tcPr>
          <w:p w14:paraId="742B8EC5" w14:textId="77777777" w:rsidR="00544A7B" w:rsidRPr="00D14636" w:rsidRDefault="00544A7B">
            <w:pPr>
              <w:rPr>
                <w:rFonts w:cstheme="minorHAnsi"/>
                <w:b/>
                <w:sz w:val="24"/>
                <w:szCs w:val="24"/>
              </w:rPr>
            </w:pPr>
            <w:r w:rsidRPr="00D14636">
              <w:rPr>
                <w:rFonts w:cstheme="minorHAnsi"/>
                <w:b/>
                <w:sz w:val="24"/>
                <w:szCs w:val="24"/>
              </w:rPr>
              <w:t>Learning Objective</w:t>
            </w:r>
          </w:p>
        </w:tc>
        <w:tc>
          <w:tcPr>
            <w:tcW w:w="9000" w:type="dxa"/>
            <w:shd w:val="clear" w:color="auto" w:fill="FFD966" w:themeFill="accent4" w:themeFillTint="99"/>
          </w:tcPr>
          <w:p w14:paraId="461103B7" w14:textId="77777777" w:rsidR="00544A7B" w:rsidRPr="00D14636" w:rsidRDefault="00544A7B">
            <w:pPr>
              <w:rPr>
                <w:rFonts w:cstheme="minorHAnsi"/>
                <w:b/>
                <w:sz w:val="24"/>
                <w:szCs w:val="24"/>
              </w:rPr>
            </w:pPr>
            <w:r w:rsidRPr="00D14636">
              <w:rPr>
                <w:rFonts w:cstheme="minorHAnsi"/>
                <w:b/>
                <w:sz w:val="24"/>
                <w:szCs w:val="24"/>
              </w:rPr>
              <w:t>Response</w:t>
            </w:r>
          </w:p>
        </w:tc>
      </w:tr>
      <w:tr w:rsidR="00B40FA0" w:rsidRPr="00D14636" w14:paraId="27EAEBB6" w14:textId="77777777" w:rsidTr="00436B53">
        <w:tc>
          <w:tcPr>
            <w:tcW w:w="4140" w:type="dxa"/>
          </w:tcPr>
          <w:p w14:paraId="4579C463" w14:textId="77777777" w:rsidR="00B40FA0" w:rsidRPr="00D14636" w:rsidRDefault="00B40FA0" w:rsidP="005E059C">
            <w:pPr>
              <w:spacing w:line="480" w:lineRule="auto"/>
              <w:rPr>
                <w:rFonts w:cstheme="minorHAnsi"/>
                <w:sz w:val="24"/>
                <w:szCs w:val="24"/>
              </w:rPr>
            </w:pPr>
            <w:r w:rsidRPr="00D14636">
              <w:rPr>
                <w:rFonts w:cstheme="minorHAnsi"/>
                <w:sz w:val="24"/>
                <w:szCs w:val="24"/>
              </w:rPr>
              <w:t>1. Describe the incidence and prevalence of catheter associated urinary tract infection (CAUTI).</w:t>
            </w:r>
          </w:p>
        </w:tc>
        <w:tc>
          <w:tcPr>
            <w:tcW w:w="9000" w:type="dxa"/>
          </w:tcPr>
          <w:p w14:paraId="0FF3647C" w14:textId="77777777" w:rsidR="00B23CF4" w:rsidRPr="00B23CF4" w:rsidRDefault="00B23CF4" w:rsidP="00B23CF4">
            <w:pPr>
              <w:spacing w:line="480" w:lineRule="auto"/>
              <w:rPr>
                <w:rFonts w:cstheme="minorHAnsi"/>
                <w:sz w:val="24"/>
                <w:szCs w:val="24"/>
              </w:rPr>
            </w:pPr>
            <w:r w:rsidRPr="00B23CF4">
              <w:rPr>
                <w:rFonts w:cstheme="minorHAnsi"/>
                <w:sz w:val="24"/>
                <w:szCs w:val="24"/>
              </w:rPr>
              <w:t xml:space="preserve">  According to the Centers for Disease Control and Prevention (CDC), approximately 75% of all hospital-acquired UTIs are associated with a urinary catheter. Between 15-25% of hospitalized patients receive urinary catheters during their hospital stay with the most critical risk factor for developing a catheter-associated UTI (CAUTI) being prolonged use of the urinary catheter. Every day that the urinary catheter is in place increases the patient’s risk of developing CAUTI by 7%. </w:t>
            </w:r>
          </w:p>
          <w:p w14:paraId="07629914" w14:textId="77777777" w:rsidR="00B23CF4" w:rsidRPr="00B23CF4" w:rsidRDefault="00B23CF4" w:rsidP="00B23CF4">
            <w:pPr>
              <w:spacing w:line="480" w:lineRule="auto"/>
              <w:rPr>
                <w:rFonts w:cstheme="minorHAnsi"/>
                <w:sz w:val="24"/>
                <w:szCs w:val="24"/>
              </w:rPr>
            </w:pPr>
          </w:p>
          <w:p w14:paraId="6C97584C" w14:textId="77777777" w:rsidR="00B23CF4" w:rsidRPr="00B23CF4" w:rsidRDefault="00B23CF4" w:rsidP="00B23CF4">
            <w:pPr>
              <w:spacing w:line="480" w:lineRule="auto"/>
              <w:rPr>
                <w:rFonts w:cstheme="minorHAnsi"/>
                <w:sz w:val="24"/>
                <w:szCs w:val="24"/>
              </w:rPr>
            </w:pPr>
            <w:r w:rsidRPr="00B23CF4">
              <w:rPr>
                <w:rFonts w:cstheme="minorHAnsi"/>
                <w:sz w:val="24"/>
                <w:szCs w:val="24"/>
              </w:rPr>
              <w:t>Due to the frequent and sometimes unnecessary use of indwelling catheters during hospitalization (21 to 50% of patients), many patients are placed at risk for CAUTI and other related complications (Jain, 1995).</w:t>
            </w:r>
          </w:p>
          <w:p w14:paraId="0523591E" w14:textId="77777777" w:rsidR="00B23CF4" w:rsidRPr="00B23CF4" w:rsidRDefault="00B23CF4" w:rsidP="00B23CF4">
            <w:pPr>
              <w:spacing w:line="480" w:lineRule="auto"/>
              <w:rPr>
                <w:rFonts w:cstheme="minorHAnsi"/>
                <w:sz w:val="24"/>
                <w:szCs w:val="24"/>
              </w:rPr>
            </w:pPr>
          </w:p>
          <w:p w14:paraId="381E90F7" w14:textId="77777777" w:rsidR="00B23CF4" w:rsidRPr="00B23CF4" w:rsidRDefault="00B23CF4" w:rsidP="00B23CF4">
            <w:pPr>
              <w:spacing w:line="480" w:lineRule="auto"/>
              <w:rPr>
                <w:rFonts w:cstheme="minorHAnsi"/>
                <w:sz w:val="24"/>
                <w:szCs w:val="24"/>
              </w:rPr>
            </w:pPr>
            <w:r w:rsidRPr="00B23CF4">
              <w:rPr>
                <w:rFonts w:cstheme="minorHAnsi"/>
                <w:sz w:val="24"/>
                <w:szCs w:val="24"/>
              </w:rPr>
              <w:lastRenderedPageBreak/>
              <w:t xml:space="preserve">As nurses, we are responsible for advocating for the proper utilization and management of indwelling catheters. Even the most straightforward measure can make a huge difference. A study involving the systematic review of hospitalized patients by Lo (2014) found that using an intervention such as reminding staff that a catheter was in place or placing a stop order to prompt removal of unnecessary catheters reduced the CAUTI rate by 53%.” </w:t>
            </w:r>
          </w:p>
          <w:p w14:paraId="0F2F62B8" w14:textId="02D0FA6F" w:rsidR="00320C49" w:rsidRPr="00D14636" w:rsidRDefault="00320C49" w:rsidP="00B23CF4">
            <w:pPr>
              <w:spacing w:line="480" w:lineRule="auto"/>
              <w:rPr>
                <w:rFonts w:cstheme="minorHAnsi"/>
                <w:sz w:val="24"/>
                <w:szCs w:val="24"/>
              </w:rPr>
            </w:pPr>
          </w:p>
        </w:tc>
      </w:tr>
      <w:tr w:rsidR="00B40FA0" w:rsidRPr="00D14636" w14:paraId="623DF7EF" w14:textId="77777777" w:rsidTr="00436B53">
        <w:tc>
          <w:tcPr>
            <w:tcW w:w="4140" w:type="dxa"/>
          </w:tcPr>
          <w:p w14:paraId="7A6167CD" w14:textId="77777777" w:rsidR="00B40FA0" w:rsidRPr="00D14636" w:rsidRDefault="00B40FA0" w:rsidP="005E059C">
            <w:pPr>
              <w:spacing w:line="480" w:lineRule="auto"/>
              <w:rPr>
                <w:rFonts w:cstheme="minorHAnsi"/>
                <w:sz w:val="24"/>
                <w:szCs w:val="24"/>
              </w:rPr>
            </w:pPr>
            <w:r w:rsidRPr="00D14636">
              <w:rPr>
                <w:rFonts w:cstheme="minorHAnsi"/>
                <w:sz w:val="24"/>
                <w:szCs w:val="24"/>
              </w:rPr>
              <w:lastRenderedPageBreak/>
              <w:t>2. List factors associated with the development of CAUTI.</w:t>
            </w:r>
          </w:p>
        </w:tc>
        <w:tc>
          <w:tcPr>
            <w:tcW w:w="9000" w:type="dxa"/>
          </w:tcPr>
          <w:p w14:paraId="0ACFAD14" w14:textId="77777777" w:rsidR="00B23CF4" w:rsidRPr="00B23CF4" w:rsidRDefault="00B23CF4" w:rsidP="00B23CF4">
            <w:pPr>
              <w:spacing w:line="480" w:lineRule="auto"/>
              <w:rPr>
                <w:rFonts w:eastAsia="Times New Roman" w:cstheme="minorHAnsi"/>
                <w:color w:val="0E101A"/>
                <w:sz w:val="24"/>
                <w:szCs w:val="24"/>
              </w:rPr>
            </w:pPr>
            <w:r w:rsidRPr="00B23CF4">
              <w:rPr>
                <w:rFonts w:eastAsia="Times New Roman" w:cstheme="minorHAnsi"/>
                <w:color w:val="0E101A"/>
                <w:sz w:val="24"/>
                <w:szCs w:val="24"/>
              </w:rPr>
              <w:t>  Factors associated with the development of CAUTI include (CDC, 2009):  </w:t>
            </w:r>
          </w:p>
          <w:p w14:paraId="5C2F890B"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Female sex- because of the shorter urethra in women, which is 4 cm long versus 20 cm average in males.</w:t>
            </w:r>
          </w:p>
          <w:p w14:paraId="26A94E5A"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Older age</w:t>
            </w:r>
          </w:p>
          <w:p w14:paraId="482FA6FD"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prolonged catheterization</w:t>
            </w:r>
          </w:p>
          <w:p w14:paraId="67261F02"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impaired immunity- which increases the risk of developing infection</w:t>
            </w:r>
          </w:p>
          <w:p w14:paraId="3C808D88"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lack of antimicrobial exposure- antimicrobials provide a protective effect against UTIs</w:t>
            </w:r>
          </w:p>
          <w:p w14:paraId="2AC27346"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lastRenderedPageBreak/>
              <w:t>catheter blockage-which may lead to the urine being stagnant and unable to flow out of the bladder, which fosters colonization and eventually, infection</w:t>
            </w:r>
          </w:p>
          <w:p w14:paraId="00CD083E"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low albumin</w:t>
            </w:r>
          </w:p>
          <w:p w14:paraId="54C1F4C2"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disconnection of the drainage system- a break in the integrity of the system can lead to the introduction of pathogens</w:t>
            </w:r>
          </w:p>
          <w:p w14:paraId="2FD7A632"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diabetes- uncontrolled blood sugar predisposes an individual to infection, even in non-catheter patients</w:t>
            </w:r>
          </w:p>
          <w:p w14:paraId="7F0FAACC"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renal dysfunction</w:t>
            </w:r>
          </w:p>
          <w:p w14:paraId="17183DC3"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higher severity of illness, </w:t>
            </w:r>
          </w:p>
          <w:p w14:paraId="180619D0"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impaired immunity</w:t>
            </w:r>
          </w:p>
          <w:p w14:paraId="3D190E57"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placement of the catheter outside of the operating room</w:t>
            </w:r>
          </w:p>
          <w:p w14:paraId="0547E7EA"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lower professional training of the person inserting the catheter</w:t>
            </w:r>
          </w:p>
          <w:p w14:paraId="3298BA59" w14:textId="77777777" w:rsidR="00B23CF4"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incontinence, and; </w:t>
            </w:r>
          </w:p>
          <w:p w14:paraId="0343FC98" w14:textId="10E04BBE" w:rsidR="00320C49" w:rsidRPr="00B23CF4" w:rsidRDefault="00B23CF4" w:rsidP="00B23CF4">
            <w:pPr>
              <w:numPr>
                <w:ilvl w:val="0"/>
                <w:numId w:val="4"/>
              </w:numPr>
              <w:spacing w:line="480" w:lineRule="auto"/>
              <w:rPr>
                <w:rFonts w:eastAsia="Times New Roman" w:cstheme="minorHAnsi"/>
                <w:color w:val="0E101A"/>
                <w:sz w:val="24"/>
                <w:szCs w:val="24"/>
              </w:rPr>
            </w:pPr>
            <w:r w:rsidRPr="00B23CF4">
              <w:rPr>
                <w:rFonts w:eastAsia="Times New Roman" w:cstheme="minorHAnsi"/>
                <w:color w:val="0E101A"/>
                <w:sz w:val="24"/>
                <w:szCs w:val="24"/>
              </w:rPr>
              <w:t>being on an orthopedic or neurology service- these patients usually lack the functional mobility needed to manage their catheter.</w:t>
            </w:r>
          </w:p>
        </w:tc>
      </w:tr>
      <w:tr w:rsidR="00B40FA0" w:rsidRPr="00D14636" w14:paraId="3B0307AF" w14:textId="77777777" w:rsidTr="00436B53">
        <w:tc>
          <w:tcPr>
            <w:tcW w:w="4140" w:type="dxa"/>
          </w:tcPr>
          <w:p w14:paraId="7E5D65D0" w14:textId="77777777" w:rsidR="00B40FA0" w:rsidRPr="00D14636" w:rsidRDefault="00B40FA0" w:rsidP="005E059C">
            <w:pPr>
              <w:spacing w:line="480" w:lineRule="auto"/>
              <w:rPr>
                <w:rFonts w:cstheme="minorHAnsi"/>
                <w:sz w:val="24"/>
                <w:szCs w:val="24"/>
              </w:rPr>
            </w:pPr>
            <w:r w:rsidRPr="00D14636">
              <w:rPr>
                <w:rFonts w:cstheme="minorHAnsi"/>
                <w:sz w:val="24"/>
                <w:szCs w:val="24"/>
              </w:rPr>
              <w:lastRenderedPageBreak/>
              <w:t>3. Discuss nursing evidence-based interventions</w:t>
            </w:r>
            <w:r w:rsidR="002C77C2" w:rsidRPr="00D14636">
              <w:rPr>
                <w:rFonts w:cstheme="minorHAnsi"/>
                <w:sz w:val="24"/>
                <w:szCs w:val="24"/>
              </w:rPr>
              <w:t xml:space="preserve"> for CAUTI prevention and management.</w:t>
            </w:r>
            <w:r w:rsidRPr="00D14636">
              <w:rPr>
                <w:rFonts w:cstheme="minorHAnsi"/>
                <w:sz w:val="24"/>
                <w:szCs w:val="24"/>
              </w:rPr>
              <w:t xml:space="preserve"> </w:t>
            </w:r>
          </w:p>
        </w:tc>
        <w:tc>
          <w:tcPr>
            <w:tcW w:w="9000" w:type="dxa"/>
          </w:tcPr>
          <w:p w14:paraId="6DB54758" w14:textId="77777777" w:rsidR="00B23CF4" w:rsidRPr="00B23CF4" w:rsidRDefault="00B23CF4" w:rsidP="00B23CF4">
            <w:pPr>
              <w:pStyle w:val="NormalWeb"/>
              <w:spacing w:line="480" w:lineRule="auto"/>
              <w:rPr>
                <w:rFonts w:asciiTheme="minorHAnsi" w:hAnsiTheme="minorHAnsi" w:cstheme="minorHAnsi"/>
                <w:color w:val="000000"/>
              </w:rPr>
            </w:pPr>
            <w:r w:rsidRPr="00B23CF4">
              <w:rPr>
                <w:rFonts w:asciiTheme="minorHAnsi" w:hAnsiTheme="minorHAnsi" w:cstheme="minorHAnsi"/>
                <w:color w:val="000000"/>
              </w:rPr>
              <w:t>The following interventions are based on CDC Guidelines released in 2009 (last reviewed in 2019):</w:t>
            </w:r>
          </w:p>
          <w:p w14:paraId="5E7EDAE0" w14:textId="77777777" w:rsidR="00B23CF4" w:rsidRPr="00B23CF4" w:rsidRDefault="00B23CF4" w:rsidP="00B23CF4">
            <w:pPr>
              <w:pStyle w:val="NormalWeb"/>
              <w:spacing w:line="480" w:lineRule="auto"/>
              <w:rPr>
                <w:rFonts w:asciiTheme="minorHAnsi" w:hAnsiTheme="minorHAnsi" w:cstheme="minorHAnsi"/>
                <w:color w:val="000000"/>
              </w:rPr>
            </w:pPr>
            <w:r w:rsidRPr="00B23CF4">
              <w:rPr>
                <w:rFonts w:asciiTheme="minorHAnsi" w:hAnsiTheme="minorHAnsi" w:cstheme="minorHAnsi"/>
                <w:color w:val="000000"/>
              </w:rPr>
              <w:t xml:space="preserve">After aseptic insertion of a urinary catheter, a closed drainage system must be maintained. Catheters should also be used discriminately and only for the right indications such as: </w:t>
            </w:r>
          </w:p>
          <w:p w14:paraId="439FB065" w14:textId="77777777" w:rsidR="00B23CF4" w:rsidRPr="00B23CF4" w:rsidRDefault="00B23CF4" w:rsidP="00B23CF4">
            <w:pPr>
              <w:pStyle w:val="NormalWeb"/>
              <w:spacing w:line="480" w:lineRule="auto"/>
              <w:rPr>
                <w:rFonts w:asciiTheme="minorHAnsi" w:hAnsiTheme="minorHAnsi" w:cstheme="minorHAnsi"/>
                <w:color w:val="000000"/>
              </w:rPr>
            </w:pPr>
            <w:r w:rsidRPr="00B23CF4">
              <w:rPr>
                <w:rFonts w:asciiTheme="minorHAnsi" w:hAnsiTheme="minorHAnsi" w:cstheme="minorHAnsi"/>
                <w:color w:val="000000"/>
              </w:rPr>
              <w:t>·      Acute urinary and bladder obstruction</w:t>
            </w:r>
          </w:p>
          <w:p w14:paraId="603EF78B" w14:textId="77777777" w:rsidR="00B23CF4" w:rsidRPr="00B23CF4" w:rsidRDefault="00B23CF4" w:rsidP="00B23CF4">
            <w:pPr>
              <w:pStyle w:val="NormalWeb"/>
              <w:spacing w:line="480" w:lineRule="auto"/>
              <w:rPr>
                <w:rFonts w:asciiTheme="minorHAnsi" w:hAnsiTheme="minorHAnsi" w:cstheme="minorHAnsi"/>
                <w:color w:val="000000"/>
              </w:rPr>
            </w:pPr>
            <w:r w:rsidRPr="00B23CF4">
              <w:rPr>
                <w:rFonts w:asciiTheme="minorHAnsi" w:hAnsiTheme="minorHAnsi" w:cstheme="minorHAnsi"/>
                <w:color w:val="000000"/>
              </w:rPr>
              <w:t>·      Need for accurate urine output measurement in critically ill patients</w:t>
            </w:r>
          </w:p>
          <w:p w14:paraId="6AAB7C11" w14:textId="77777777" w:rsidR="00B23CF4" w:rsidRPr="00B23CF4" w:rsidRDefault="00B23CF4" w:rsidP="00B23CF4">
            <w:pPr>
              <w:pStyle w:val="NormalWeb"/>
              <w:spacing w:line="480" w:lineRule="auto"/>
              <w:rPr>
                <w:rFonts w:asciiTheme="minorHAnsi" w:hAnsiTheme="minorHAnsi" w:cstheme="minorHAnsi"/>
                <w:color w:val="000000"/>
              </w:rPr>
            </w:pPr>
            <w:r w:rsidRPr="00B23CF4">
              <w:rPr>
                <w:rFonts w:asciiTheme="minorHAnsi" w:hAnsiTheme="minorHAnsi" w:cstheme="minorHAnsi"/>
                <w:color w:val="000000"/>
              </w:rPr>
              <w:t>·      Perioperative use for surgical procedures that involve the genitourinary tract may take too long or when a patient is expected to receive large volumes of infusions</w:t>
            </w:r>
          </w:p>
          <w:p w14:paraId="4FC37995" w14:textId="77777777" w:rsidR="00B23CF4" w:rsidRPr="00B23CF4" w:rsidRDefault="00B23CF4" w:rsidP="00B23CF4">
            <w:pPr>
              <w:pStyle w:val="NormalWeb"/>
              <w:spacing w:line="480" w:lineRule="auto"/>
              <w:rPr>
                <w:rFonts w:asciiTheme="minorHAnsi" w:hAnsiTheme="minorHAnsi" w:cstheme="minorHAnsi"/>
                <w:color w:val="000000"/>
              </w:rPr>
            </w:pPr>
            <w:r w:rsidRPr="00B23CF4">
              <w:rPr>
                <w:rFonts w:asciiTheme="minorHAnsi" w:hAnsiTheme="minorHAnsi" w:cstheme="minorHAnsi"/>
                <w:color w:val="000000"/>
              </w:rPr>
              <w:t>·      For incontinent patients with open wounds in the sacral or perineal area</w:t>
            </w:r>
          </w:p>
          <w:p w14:paraId="191C2811" w14:textId="77777777" w:rsidR="00B23CF4" w:rsidRPr="00B23CF4" w:rsidRDefault="00B23CF4" w:rsidP="00B23CF4">
            <w:pPr>
              <w:pStyle w:val="NormalWeb"/>
              <w:spacing w:line="480" w:lineRule="auto"/>
              <w:rPr>
                <w:rFonts w:asciiTheme="minorHAnsi" w:hAnsiTheme="minorHAnsi" w:cstheme="minorHAnsi"/>
                <w:color w:val="000000"/>
              </w:rPr>
            </w:pPr>
            <w:r w:rsidRPr="00B23CF4">
              <w:rPr>
                <w:rFonts w:asciiTheme="minorHAnsi" w:hAnsiTheme="minorHAnsi" w:cstheme="minorHAnsi"/>
                <w:color w:val="000000"/>
              </w:rPr>
              <w:t>·      To promote comfort in patients receiving end of life care</w:t>
            </w:r>
          </w:p>
          <w:p w14:paraId="6839CCF8" w14:textId="77777777" w:rsidR="00B23CF4" w:rsidRPr="00B23CF4" w:rsidRDefault="00B23CF4" w:rsidP="00B23CF4">
            <w:pPr>
              <w:pStyle w:val="NormalWeb"/>
              <w:spacing w:line="480" w:lineRule="auto"/>
              <w:rPr>
                <w:rFonts w:asciiTheme="minorHAnsi" w:hAnsiTheme="minorHAnsi" w:cstheme="minorHAnsi"/>
                <w:color w:val="000000"/>
              </w:rPr>
            </w:pPr>
            <w:r w:rsidRPr="00B23CF4">
              <w:rPr>
                <w:rFonts w:asciiTheme="minorHAnsi" w:hAnsiTheme="minorHAnsi" w:cstheme="minorHAnsi"/>
                <w:color w:val="000000"/>
              </w:rPr>
              <w:t xml:space="preserve">It is also essential to leave the catheter in place for only as long as needed. It is also important to note patients at higher risk for developing CAUTI, such as females, the older </w:t>
            </w:r>
            <w:r w:rsidRPr="00B23CF4">
              <w:rPr>
                <w:rFonts w:asciiTheme="minorHAnsi" w:hAnsiTheme="minorHAnsi" w:cstheme="minorHAnsi"/>
                <w:color w:val="000000"/>
              </w:rPr>
              <w:lastRenderedPageBreak/>
              <w:t>population, and the immune-compromised. It is also recommended that only adequately trained persons who know the correct technique of aseptic catheter insertion and maintenance should be allowed to do it. Maintaining an unobstructed urine flow also helps to prevent urine from being stagnant.</w:t>
            </w:r>
          </w:p>
          <w:p w14:paraId="48C7FB5D" w14:textId="3DD03A3D" w:rsidR="00347CB3" w:rsidRPr="005E059C" w:rsidRDefault="00B23CF4" w:rsidP="00B23CF4">
            <w:pPr>
              <w:pStyle w:val="NormalWeb"/>
              <w:spacing w:line="480" w:lineRule="auto"/>
              <w:rPr>
                <w:rFonts w:asciiTheme="minorHAnsi" w:hAnsiTheme="minorHAnsi" w:cstheme="minorHAnsi"/>
                <w:color w:val="000000"/>
              </w:rPr>
            </w:pPr>
            <w:r w:rsidRPr="00B23CF4">
              <w:rPr>
                <w:rFonts w:asciiTheme="minorHAnsi" w:hAnsiTheme="minorHAnsi" w:cstheme="minorHAnsi"/>
                <w:color w:val="000000"/>
              </w:rPr>
              <w:t>In addition to these measures, the Joint Commission in a 2017 Supplemental report mentions the importance of hand hygiene during insertion and maintenance care, maintaining the urine collection system's sterility, and replacing it as required.</w:t>
            </w:r>
          </w:p>
        </w:tc>
      </w:tr>
      <w:tr w:rsidR="00B40FA0" w:rsidRPr="00D14636" w14:paraId="2E22CF53" w14:textId="77777777" w:rsidTr="00436B53">
        <w:tc>
          <w:tcPr>
            <w:tcW w:w="4140" w:type="dxa"/>
          </w:tcPr>
          <w:p w14:paraId="7E4AA9CD" w14:textId="77777777" w:rsidR="00B40FA0" w:rsidRPr="00D14636" w:rsidRDefault="00B40FA0" w:rsidP="005E059C">
            <w:pPr>
              <w:spacing w:line="480" w:lineRule="auto"/>
              <w:rPr>
                <w:rFonts w:cstheme="minorHAnsi"/>
                <w:sz w:val="24"/>
                <w:szCs w:val="24"/>
              </w:rPr>
            </w:pPr>
            <w:r w:rsidRPr="00D14636">
              <w:rPr>
                <w:rFonts w:cstheme="minorHAnsi"/>
                <w:sz w:val="24"/>
                <w:szCs w:val="24"/>
              </w:rPr>
              <w:lastRenderedPageBreak/>
              <w:t xml:space="preserve">4. </w:t>
            </w:r>
            <w:r w:rsidR="002C77C2" w:rsidRPr="00D14636">
              <w:rPr>
                <w:rFonts w:cstheme="minorHAnsi"/>
                <w:sz w:val="24"/>
                <w:szCs w:val="24"/>
              </w:rPr>
              <w:t>Identify s</w:t>
            </w:r>
            <w:r w:rsidRPr="00D14636">
              <w:rPr>
                <w:rFonts w:cstheme="minorHAnsi"/>
                <w:sz w:val="24"/>
                <w:szCs w:val="24"/>
              </w:rPr>
              <w:t>elect</w:t>
            </w:r>
            <w:r w:rsidR="002C77C2" w:rsidRPr="00D14636">
              <w:rPr>
                <w:rFonts w:cstheme="minorHAnsi"/>
                <w:sz w:val="24"/>
                <w:szCs w:val="24"/>
              </w:rPr>
              <w:t>ion criteria for</w:t>
            </w:r>
            <w:r w:rsidRPr="00D14636">
              <w:rPr>
                <w:rFonts w:cstheme="minorHAnsi"/>
                <w:sz w:val="24"/>
                <w:szCs w:val="24"/>
              </w:rPr>
              <w:t xml:space="preserve"> appropriate indwelling catheter size. </w:t>
            </w:r>
          </w:p>
        </w:tc>
        <w:tc>
          <w:tcPr>
            <w:tcW w:w="9000" w:type="dxa"/>
          </w:tcPr>
          <w:p w14:paraId="49BC403B" w14:textId="77777777" w:rsidR="00A33D96" w:rsidRPr="00D14636" w:rsidRDefault="00A33D96" w:rsidP="005E059C">
            <w:pPr>
              <w:shd w:val="clear" w:color="auto" w:fill="FFFFFF"/>
              <w:spacing w:line="480" w:lineRule="auto"/>
              <w:outlineLvl w:val="2"/>
              <w:rPr>
                <w:rFonts w:eastAsia="Times New Roman" w:cstheme="minorHAnsi"/>
                <w:caps/>
                <w:color w:val="222222"/>
                <w:sz w:val="24"/>
                <w:szCs w:val="24"/>
              </w:rPr>
            </w:pPr>
            <w:r w:rsidRPr="00D14636">
              <w:rPr>
                <w:rFonts w:eastAsia="Times New Roman" w:cstheme="minorHAnsi"/>
                <w:b/>
                <w:bCs/>
                <w:caps/>
                <w:color w:val="222222"/>
                <w:sz w:val="24"/>
                <w:szCs w:val="24"/>
              </w:rPr>
              <w:t>WHAT SIZE CATHETER SHOULD I GET?</w:t>
            </w:r>
          </w:p>
          <w:p w14:paraId="7461079D" w14:textId="77777777" w:rsidR="00B23CF4" w:rsidRPr="00B23CF4" w:rsidRDefault="00B23CF4" w:rsidP="00B23CF4">
            <w:pPr>
              <w:shd w:val="clear" w:color="auto" w:fill="FFFFFF"/>
              <w:spacing w:after="360" w:line="480" w:lineRule="auto"/>
              <w:rPr>
                <w:rFonts w:cstheme="minorHAnsi"/>
                <w:color w:val="636363"/>
                <w:sz w:val="24"/>
                <w:szCs w:val="24"/>
                <w:shd w:val="clear" w:color="auto" w:fill="FFFFFF"/>
              </w:rPr>
            </w:pPr>
            <w:r w:rsidRPr="00B23CF4">
              <w:rPr>
                <w:rFonts w:cstheme="minorHAnsi"/>
                <w:color w:val="636363"/>
                <w:sz w:val="24"/>
                <w:szCs w:val="24"/>
                <w:shd w:val="clear" w:color="auto" w:fill="FFFFFF"/>
              </w:rPr>
              <w:t xml:space="preserve">Indwelling catheters use the outside of their diameters and measure it in French sizes, where the higher the number is, the bigger the catheter size. 14-16 Fr is commonly used in adults. At the same time, 5-14 Fr is used in children. It is vital to use the appropriate indwelling catheter size because a big catheter can lead to urethral irritation or trauma. It can also be more challenging to insert. Meanwhile, a catheter that is too small can lead to kinking and urinary leakage. Additionally, patients who are experiencing hematuria and is </w:t>
            </w:r>
            <w:r w:rsidRPr="00B23CF4">
              <w:rPr>
                <w:rFonts w:cstheme="minorHAnsi"/>
                <w:color w:val="636363"/>
                <w:sz w:val="24"/>
                <w:szCs w:val="24"/>
                <w:shd w:val="clear" w:color="auto" w:fill="FFFFFF"/>
              </w:rPr>
              <w:lastRenderedPageBreak/>
              <w:t xml:space="preserve">passing blood clots, an 18 Fr may be necessary while adults with obstruction are recommended to use 20-24 Fr (Moore &amp; Franklin, 2016). </w:t>
            </w:r>
          </w:p>
          <w:p w14:paraId="7F48FD1A" w14:textId="1DE409BD" w:rsidR="00347CB3" w:rsidRPr="00D14636" w:rsidRDefault="00B23CF4" w:rsidP="005E059C">
            <w:pPr>
              <w:shd w:val="clear" w:color="auto" w:fill="FFFFFF"/>
              <w:spacing w:after="360" w:line="480" w:lineRule="auto"/>
              <w:rPr>
                <w:rFonts w:cstheme="minorHAnsi"/>
                <w:color w:val="636363"/>
                <w:sz w:val="24"/>
                <w:szCs w:val="24"/>
                <w:shd w:val="clear" w:color="auto" w:fill="FFFFFF"/>
              </w:rPr>
            </w:pPr>
            <w:r w:rsidRPr="00B23CF4">
              <w:rPr>
                <w:rFonts w:cstheme="minorHAnsi"/>
                <w:color w:val="636363"/>
                <w:sz w:val="24"/>
                <w:szCs w:val="24"/>
                <w:shd w:val="clear" w:color="auto" w:fill="FFFFFF"/>
              </w:rPr>
              <w:t>The length of internal catheters is usually referenced in inches when sold in the United States. Standard lengths of 6 to 8 inches are used for women, while lengths of 14 or more inches are often used for men (Vitality Medical, n.d).</w:t>
            </w:r>
          </w:p>
        </w:tc>
      </w:tr>
      <w:tr w:rsidR="00B40FA0" w:rsidRPr="00D14636" w14:paraId="6D18D7D8" w14:textId="77777777" w:rsidTr="00436B53">
        <w:tc>
          <w:tcPr>
            <w:tcW w:w="4140" w:type="dxa"/>
          </w:tcPr>
          <w:p w14:paraId="087866D1" w14:textId="77777777" w:rsidR="00B40FA0" w:rsidRPr="00D14636" w:rsidRDefault="00B40FA0" w:rsidP="005E059C">
            <w:pPr>
              <w:spacing w:line="480" w:lineRule="auto"/>
              <w:rPr>
                <w:rFonts w:cstheme="minorHAnsi"/>
                <w:sz w:val="24"/>
                <w:szCs w:val="24"/>
              </w:rPr>
            </w:pPr>
            <w:r w:rsidRPr="00D14636">
              <w:rPr>
                <w:rFonts w:cstheme="minorHAnsi"/>
                <w:sz w:val="24"/>
                <w:szCs w:val="24"/>
              </w:rPr>
              <w:lastRenderedPageBreak/>
              <w:t>5. Differentiate between a urinary tract infection and colonization.</w:t>
            </w:r>
          </w:p>
        </w:tc>
        <w:tc>
          <w:tcPr>
            <w:tcW w:w="9000" w:type="dxa"/>
          </w:tcPr>
          <w:p w14:paraId="49C386D8" w14:textId="5E542A22" w:rsidR="00347CB3" w:rsidRPr="00D14636" w:rsidRDefault="00B23CF4" w:rsidP="005E059C">
            <w:pPr>
              <w:spacing w:line="480" w:lineRule="auto"/>
              <w:rPr>
                <w:rFonts w:cstheme="minorHAnsi"/>
                <w:sz w:val="24"/>
                <w:szCs w:val="24"/>
              </w:rPr>
            </w:pPr>
            <w:r w:rsidRPr="00B23CF4">
              <w:rPr>
                <w:rFonts w:cstheme="minorHAnsi"/>
                <w:sz w:val="24"/>
                <w:szCs w:val="24"/>
              </w:rPr>
              <w:t xml:space="preserve">According to the Gale Encyclopedia of Medicine (as cited in Dani, 2014), “colonization is the presence of bacteria on a body surface (like on the skin, mouth, intestines or airway) without causing disease in the person.” Colonization is considered to be a normal process that may or may not involve normal flora. It does not harm the patient under normal circumstances and does not require the use of antibiotics. Garner in 2016 suggested three ways by which to tell the difference between an infection and colonization. First is determining whether a microorganism is a normal flora. Second is finding out whether the microorganism can cause infection from the body area from which it was isolated. For example, if </w:t>
            </w:r>
            <w:proofErr w:type="gramStart"/>
            <w:r w:rsidRPr="00B23CF4">
              <w:rPr>
                <w:rFonts w:cstheme="minorHAnsi"/>
                <w:sz w:val="24"/>
                <w:szCs w:val="24"/>
              </w:rPr>
              <w:t>E.coli</w:t>
            </w:r>
            <w:proofErr w:type="gramEnd"/>
            <w:r w:rsidRPr="00B23CF4">
              <w:rPr>
                <w:rFonts w:cstheme="minorHAnsi"/>
                <w:sz w:val="24"/>
                <w:szCs w:val="24"/>
              </w:rPr>
              <w:t xml:space="preserve"> is isolated from a wound, it is considered a colonizer because it cannot </w:t>
            </w:r>
            <w:r w:rsidRPr="00B23CF4">
              <w:rPr>
                <w:rFonts w:cstheme="minorHAnsi"/>
                <w:sz w:val="24"/>
                <w:szCs w:val="24"/>
              </w:rPr>
              <w:lastRenderedPageBreak/>
              <w:t>cause an infection in that area of the body. Lastly is determining if there is tissue destruction and/or inflammation, which are hallmark manifestations of infection.</w:t>
            </w:r>
          </w:p>
        </w:tc>
      </w:tr>
      <w:tr w:rsidR="00347CB3" w:rsidRPr="00D14636" w14:paraId="762EDBF4" w14:textId="77777777" w:rsidTr="006F1D09">
        <w:tc>
          <w:tcPr>
            <w:tcW w:w="4140" w:type="dxa"/>
            <w:shd w:val="clear" w:color="auto" w:fill="BF8F00" w:themeFill="accent4" w:themeFillShade="BF"/>
          </w:tcPr>
          <w:p w14:paraId="6D1D6F54" w14:textId="77777777" w:rsidR="00347CB3" w:rsidRPr="00D14636" w:rsidRDefault="00347CB3" w:rsidP="005E059C">
            <w:pPr>
              <w:spacing w:line="480" w:lineRule="auto"/>
              <w:rPr>
                <w:rFonts w:cstheme="minorHAnsi"/>
                <w:sz w:val="24"/>
                <w:szCs w:val="24"/>
              </w:rPr>
            </w:pPr>
          </w:p>
        </w:tc>
        <w:tc>
          <w:tcPr>
            <w:tcW w:w="9000" w:type="dxa"/>
            <w:shd w:val="clear" w:color="auto" w:fill="BF8F00" w:themeFill="accent4" w:themeFillShade="BF"/>
          </w:tcPr>
          <w:p w14:paraId="1D44DF15" w14:textId="77777777" w:rsidR="00347CB3" w:rsidRPr="00D14636" w:rsidRDefault="00347CB3" w:rsidP="005E059C">
            <w:pPr>
              <w:spacing w:line="480" w:lineRule="auto"/>
              <w:rPr>
                <w:rFonts w:cstheme="minorHAnsi"/>
                <w:sz w:val="24"/>
                <w:szCs w:val="24"/>
              </w:rPr>
            </w:pPr>
          </w:p>
        </w:tc>
      </w:tr>
      <w:tr w:rsidR="00B40FA0" w:rsidRPr="00D14636" w14:paraId="68B4FFCB" w14:textId="77777777" w:rsidTr="00436B53">
        <w:tc>
          <w:tcPr>
            <w:tcW w:w="4140" w:type="dxa"/>
          </w:tcPr>
          <w:p w14:paraId="7EB909BC" w14:textId="77777777" w:rsidR="00B40FA0" w:rsidRPr="00D14636" w:rsidRDefault="00B40FA0" w:rsidP="005E059C">
            <w:pPr>
              <w:spacing w:line="480" w:lineRule="auto"/>
              <w:rPr>
                <w:rFonts w:cstheme="minorHAnsi"/>
                <w:sz w:val="24"/>
                <w:szCs w:val="24"/>
              </w:rPr>
            </w:pPr>
            <w:r w:rsidRPr="00D14636">
              <w:rPr>
                <w:rFonts w:cstheme="minorHAnsi"/>
                <w:sz w:val="24"/>
                <w:szCs w:val="24"/>
              </w:rPr>
              <w:t xml:space="preserve">List </w:t>
            </w:r>
            <w:r w:rsidR="00347CB3" w:rsidRPr="00D14636">
              <w:rPr>
                <w:rFonts w:cstheme="minorHAnsi"/>
                <w:sz w:val="24"/>
                <w:szCs w:val="24"/>
              </w:rPr>
              <w:t xml:space="preserve">at least </w:t>
            </w:r>
            <w:r w:rsidRPr="00D14636">
              <w:rPr>
                <w:rFonts w:cstheme="minorHAnsi"/>
                <w:sz w:val="24"/>
                <w:szCs w:val="24"/>
              </w:rPr>
              <w:t>three current references that support your responses</w:t>
            </w:r>
            <w:r w:rsidR="002C77C2" w:rsidRPr="00D14636">
              <w:rPr>
                <w:rFonts w:cstheme="minorHAnsi"/>
                <w:sz w:val="24"/>
                <w:szCs w:val="24"/>
              </w:rPr>
              <w:t xml:space="preserve"> (textbook required as one of the references),</w:t>
            </w:r>
            <w:r w:rsidRPr="00D14636">
              <w:rPr>
                <w:rFonts w:cstheme="minorHAnsi"/>
                <w:sz w:val="24"/>
                <w:szCs w:val="24"/>
              </w:rPr>
              <w:t xml:space="preserve"> and include the citations in the body of the written responses. </w:t>
            </w:r>
          </w:p>
        </w:tc>
        <w:tc>
          <w:tcPr>
            <w:tcW w:w="9000" w:type="dxa"/>
          </w:tcPr>
          <w:p w14:paraId="25ED6EAC" w14:textId="1402F651" w:rsidR="009A18BD" w:rsidRPr="00D14636" w:rsidRDefault="009A18BD" w:rsidP="005E059C">
            <w:pPr>
              <w:spacing w:line="480" w:lineRule="auto"/>
              <w:ind w:left="522" w:hanging="450"/>
              <w:rPr>
                <w:rFonts w:cstheme="minorHAnsi"/>
                <w:sz w:val="24"/>
                <w:szCs w:val="24"/>
              </w:rPr>
            </w:pPr>
            <w:r w:rsidRPr="00D14636">
              <w:rPr>
                <w:rFonts w:cstheme="minorHAnsi"/>
                <w:sz w:val="24"/>
                <w:szCs w:val="24"/>
              </w:rPr>
              <w:t xml:space="preserve">Centers for Disease Control and Prevention (CDC). 2020, January. </w:t>
            </w:r>
            <w:r w:rsidRPr="00D14636">
              <w:rPr>
                <w:rFonts w:cstheme="minorHAnsi"/>
                <w:i/>
                <w:iCs/>
                <w:sz w:val="24"/>
                <w:szCs w:val="24"/>
              </w:rPr>
              <w:t xml:space="preserve">Urinary tract infection (catheter-associated urinary tract infection [CAUTI] and non-catheter-associated urinary tract infection [UTI]) events. </w:t>
            </w:r>
            <w:proofErr w:type="spellStart"/>
            <w:proofErr w:type="gramStart"/>
            <w:r w:rsidRPr="00D14636">
              <w:rPr>
                <w:rFonts w:cstheme="minorHAnsi"/>
                <w:sz w:val="24"/>
                <w:szCs w:val="24"/>
              </w:rPr>
              <w:t>DOI:https</w:t>
            </w:r>
            <w:proofErr w:type="spellEnd"/>
            <w:r w:rsidRPr="00D14636">
              <w:rPr>
                <w:rFonts w:cstheme="minorHAnsi"/>
                <w:sz w:val="24"/>
                <w:szCs w:val="24"/>
              </w:rPr>
              <w:t>://www.cdc.gov/nhsn/PDFs/pscManual/7pscCAUTIcurrent.pdf</w:t>
            </w:r>
            <w:proofErr w:type="gramEnd"/>
          </w:p>
          <w:p w14:paraId="58EE9457" w14:textId="7B5F39D5" w:rsidR="00D14636" w:rsidRPr="00D14636" w:rsidRDefault="00F63213" w:rsidP="005E059C">
            <w:pPr>
              <w:pStyle w:val="NormalWeb"/>
              <w:spacing w:line="480" w:lineRule="auto"/>
              <w:ind w:left="522" w:hanging="450"/>
              <w:rPr>
                <w:rFonts w:asciiTheme="minorHAnsi" w:hAnsiTheme="minorHAnsi" w:cstheme="minorHAnsi"/>
                <w:color w:val="0563C1" w:themeColor="hyperlink"/>
                <w:u w:val="single"/>
                <w:shd w:val="clear" w:color="auto" w:fill="FFFFFF"/>
              </w:rPr>
            </w:pPr>
            <w:r w:rsidRPr="00D14636">
              <w:rPr>
                <w:rFonts w:asciiTheme="minorHAnsi" w:hAnsiTheme="minorHAnsi" w:cstheme="minorHAnsi"/>
                <w:color w:val="303030"/>
                <w:shd w:val="clear" w:color="auto" w:fill="FFFFFF"/>
              </w:rPr>
              <w:t>Dani A. (2014). Colonization and infection. </w:t>
            </w:r>
            <w:r w:rsidRPr="00D14636">
              <w:rPr>
                <w:rFonts w:asciiTheme="minorHAnsi" w:hAnsiTheme="minorHAnsi" w:cstheme="minorHAnsi"/>
                <w:i/>
                <w:iCs/>
                <w:color w:val="303030"/>
                <w:shd w:val="clear" w:color="auto" w:fill="FFFFFF"/>
              </w:rPr>
              <w:t>Central European journal of urology</w:t>
            </w:r>
            <w:r w:rsidRPr="00D14636">
              <w:rPr>
                <w:rFonts w:asciiTheme="minorHAnsi" w:hAnsiTheme="minorHAnsi" w:cstheme="minorHAnsi"/>
                <w:color w:val="303030"/>
                <w:shd w:val="clear" w:color="auto" w:fill="FFFFFF"/>
              </w:rPr>
              <w:t>, </w:t>
            </w:r>
            <w:r w:rsidRPr="00D14636">
              <w:rPr>
                <w:rFonts w:asciiTheme="minorHAnsi" w:hAnsiTheme="minorHAnsi" w:cstheme="minorHAnsi"/>
                <w:i/>
                <w:iCs/>
                <w:color w:val="303030"/>
                <w:shd w:val="clear" w:color="auto" w:fill="FFFFFF"/>
              </w:rPr>
              <w:t>67</w:t>
            </w:r>
            <w:r w:rsidRPr="00D14636">
              <w:rPr>
                <w:rFonts w:asciiTheme="minorHAnsi" w:hAnsiTheme="minorHAnsi" w:cstheme="minorHAnsi"/>
                <w:color w:val="303030"/>
                <w:shd w:val="clear" w:color="auto" w:fill="FFFFFF"/>
              </w:rPr>
              <w:t xml:space="preserve">(1), 86–87. </w:t>
            </w:r>
            <w:hyperlink r:id="rId7" w:history="1">
              <w:r w:rsidR="005A3988" w:rsidRPr="00D14636">
                <w:rPr>
                  <w:rStyle w:val="Hyperlink"/>
                  <w:rFonts w:asciiTheme="minorHAnsi" w:hAnsiTheme="minorHAnsi" w:cstheme="minorHAnsi"/>
                  <w:shd w:val="clear" w:color="auto" w:fill="FFFFFF"/>
                </w:rPr>
                <w:t>https://doi.org/10.5173/ceju.2014.01.art19</w:t>
              </w:r>
            </w:hyperlink>
          </w:p>
          <w:p w14:paraId="6DFD284A" w14:textId="0EC06975" w:rsidR="00D14636" w:rsidRPr="00D14636" w:rsidRDefault="00D14636" w:rsidP="005E059C">
            <w:pPr>
              <w:pStyle w:val="NormalWeb"/>
              <w:spacing w:line="480" w:lineRule="auto"/>
              <w:ind w:left="522" w:hanging="450"/>
              <w:rPr>
                <w:rFonts w:asciiTheme="minorHAnsi" w:hAnsiTheme="minorHAnsi" w:cstheme="minorHAnsi"/>
              </w:rPr>
            </w:pPr>
            <w:r w:rsidRPr="00D14636">
              <w:rPr>
                <w:rFonts w:asciiTheme="minorHAnsi" w:hAnsiTheme="minorHAnsi" w:cstheme="minorHAnsi"/>
              </w:rPr>
              <w:t xml:space="preserve">Garner, D. (2016, October 11). </w:t>
            </w:r>
            <w:proofErr w:type="spellStart"/>
            <w:r w:rsidRPr="00D14636">
              <w:rPr>
                <w:rFonts w:asciiTheme="minorHAnsi" w:hAnsiTheme="minorHAnsi" w:cstheme="minorHAnsi"/>
                <w:i/>
                <w:iCs/>
              </w:rPr>
              <w:t>Colonisation</w:t>
            </w:r>
            <w:proofErr w:type="spellEnd"/>
            <w:r w:rsidRPr="00D14636">
              <w:rPr>
                <w:rFonts w:asciiTheme="minorHAnsi" w:hAnsiTheme="minorHAnsi" w:cstheme="minorHAnsi"/>
                <w:i/>
                <w:iCs/>
              </w:rPr>
              <w:t xml:space="preserve"> versus infection</w:t>
            </w:r>
            <w:r w:rsidRPr="00D14636">
              <w:rPr>
                <w:rFonts w:asciiTheme="minorHAnsi" w:hAnsiTheme="minorHAnsi" w:cstheme="minorHAnsi"/>
              </w:rPr>
              <w:t xml:space="preserve">. Microbiology nuts and bolts. DOI: </w:t>
            </w:r>
            <w:r w:rsidRPr="00D14636">
              <w:rPr>
                <w:rFonts w:asciiTheme="minorHAnsi" w:hAnsiTheme="minorHAnsi" w:cstheme="minorHAnsi"/>
              </w:rPr>
              <w:t>http://www.microbiologynutsandbolts.co.uk/the-bug-blog/colonisation-vs-infection</w:t>
            </w:r>
          </w:p>
          <w:p w14:paraId="0095A9D0" w14:textId="0F3AAA8D" w:rsidR="00304AE3" w:rsidRPr="00D14636" w:rsidRDefault="00304AE3" w:rsidP="005E059C">
            <w:pPr>
              <w:pStyle w:val="NormalWeb"/>
              <w:spacing w:line="480" w:lineRule="auto"/>
              <w:ind w:left="522" w:hanging="450"/>
              <w:rPr>
                <w:rFonts w:asciiTheme="minorHAnsi" w:hAnsiTheme="minorHAnsi" w:cstheme="minorHAnsi"/>
              </w:rPr>
            </w:pPr>
            <w:r w:rsidRPr="00D14636">
              <w:rPr>
                <w:rFonts w:asciiTheme="minorHAnsi" w:hAnsiTheme="minorHAnsi" w:cstheme="minorHAnsi"/>
              </w:rPr>
              <w:t xml:space="preserve">Gould, C.V., </w:t>
            </w:r>
            <w:proofErr w:type="spellStart"/>
            <w:r w:rsidRPr="00D14636">
              <w:rPr>
                <w:rFonts w:asciiTheme="minorHAnsi" w:hAnsiTheme="minorHAnsi" w:cstheme="minorHAnsi"/>
              </w:rPr>
              <w:t>Umscheid</w:t>
            </w:r>
            <w:proofErr w:type="spellEnd"/>
            <w:r w:rsidRPr="00D14636">
              <w:rPr>
                <w:rFonts w:asciiTheme="minorHAnsi" w:hAnsiTheme="minorHAnsi" w:cstheme="minorHAnsi"/>
              </w:rPr>
              <w:t xml:space="preserve"> C.A., Agarwal, R.K., Kuntz, G., Pegues, D.A., &amp; Healthcare Infection Control Practices Advisory Committee HICPAC. (2009). </w:t>
            </w:r>
            <w:r w:rsidRPr="00D14636">
              <w:rPr>
                <w:rFonts w:asciiTheme="minorHAnsi" w:hAnsiTheme="minorHAnsi" w:cstheme="minorHAnsi"/>
                <w:i/>
                <w:iCs/>
              </w:rPr>
              <w:t xml:space="preserve">Guideline for prevention of </w:t>
            </w:r>
            <w:r w:rsidRPr="00D14636">
              <w:rPr>
                <w:rFonts w:asciiTheme="minorHAnsi" w:hAnsiTheme="minorHAnsi" w:cstheme="minorHAnsi"/>
                <w:i/>
                <w:iCs/>
              </w:rPr>
              <w:lastRenderedPageBreak/>
              <w:t>catheter‐associated urinary tract infections</w:t>
            </w:r>
            <w:r w:rsidRPr="00D14636">
              <w:rPr>
                <w:rFonts w:asciiTheme="minorHAnsi" w:hAnsiTheme="minorHAnsi" w:cstheme="minorHAnsi"/>
              </w:rPr>
              <w:t xml:space="preserve">. CDC. DOI: </w:t>
            </w:r>
            <w:hyperlink r:id="rId8" w:history="1">
              <w:r w:rsidR="006607FD" w:rsidRPr="00D14636">
                <w:rPr>
                  <w:rStyle w:val="Hyperlink"/>
                  <w:rFonts w:asciiTheme="minorHAnsi" w:hAnsiTheme="minorHAnsi" w:cstheme="minorHAnsi"/>
                </w:rPr>
                <w:t>https://www.cdc.gov/infectioncontrol/pdf/guidelines/cauti-guidelines-H.pdf</w:t>
              </w:r>
            </w:hyperlink>
          </w:p>
          <w:p w14:paraId="12CAEF85" w14:textId="4384D881" w:rsidR="006607FD" w:rsidRPr="00D14636" w:rsidRDefault="006607FD" w:rsidP="005E059C">
            <w:pPr>
              <w:pStyle w:val="NormalWeb"/>
              <w:spacing w:line="480" w:lineRule="auto"/>
              <w:ind w:left="522" w:hanging="450"/>
              <w:rPr>
                <w:rFonts w:asciiTheme="minorHAnsi" w:hAnsiTheme="minorHAnsi" w:cstheme="minorHAnsi"/>
                <w:color w:val="303030"/>
                <w:shd w:val="clear" w:color="auto" w:fill="FFFFFF"/>
              </w:rPr>
            </w:pPr>
            <w:r w:rsidRPr="00D14636">
              <w:rPr>
                <w:rFonts w:asciiTheme="minorHAnsi" w:hAnsiTheme="minorHAnsi" w:cstheme="minorHAnsi"/>
                <w:color w:val="212121"/>
                <w:shd w:val="clear" w:color="auto" w:fill="FFFFFF"/>
              </w:rPr>
              <w:t>Jain, P., Parada, J. P., David, A., &amp; Smith, L. G. (1995). Overuse of the indwelling urinary tract catheter in hospitalized medical patients. </w:t>
            </w:r>
            <w:r w:rsidRPr="00D14636">
              <w:rPr>
                <w:rFonts w:asciiTheme="minorHAnsi" w:hAnsiTheme="minorHAnsi" w:cstheme="minorHAnsi"/>
                <w:i/>
                <w:iCs/>
                <w:color w:val="212121"/>
                <w:shd w:val="clear" w:color="auto" w:fill="FFFFFF"/>
              </w:rPr>
              <w:t>Archives of internal medicine</w:t>
            </w:r>
            <w:r w:rsidRPr="00D14636">
              <w:rPr>
                <w:rFonts w:asciiTheme="minorHAnsi" w:hAnsiTheme="minorHAnsi" w:cstheme="minorHAnsi"/>
                <w:color w:val="212121"/>
                <w:shd w:val="clear" w:color="auto" w:fill="FFFFFF"/>
              </w:rPr>
              <w:t>, </w:t>
            </w:r>
            <w:r w:rsidRPr="00D14636">
              <w:rPr>
                <w:rFonts w:asciiTheme="minorHAnsi" w:hAnsiTheme="minorHAnsi" w:cstheme="minorHAnsi"/>
                <w:i/>
                <w:iCs/>
                <w:color w:val="212121"/>
                <w:shd w:val="clear" w:color="auto" w:fill="FFFFFF"/>
              </w:rPr>
              <w:t>155</w:t>
            </w:r>
            <w:r w:rsidRPr="00D14636">
              <w:rPr>
                <w:rFonts w:asciiTheme="minorHAnsi" w:hAnsiTheme="minorHAnsi" w:cstheme="minorHAnsi"/>
                <w:color w:val="212121"/>
                <w:shd w:val="clear" w:color="auto" w:fill="FFFFFF"/>
              </w:rPr>
              <w:t>(13), 1425–1429. DOI: https://pubmed.ncbi.nlm.nih.gov/7794092/</w:t>
            </w:r>
          </w:p>
          <w:p w14:paraId="5C6060AD" w14:textId="69CA966F" w:rsidR="005A3988" w:rsidRPr="00D14636" w:rsidRDefault="005A3988" w:rsidP="005E059C">
            <w:pPr>
              <w:pStyle w:val="NormalWeb"/>
              <w:spacing w:line="480" w:lineRule="auto"/>
              <w:ind w:left="522" w:hanging="450"/>
              <w:rPr>
                <w:rFonts w:asciiTheme="minorHAnsi" w:hAnsiTheme="minorHAnsi" w:cstheme="minorHAnsi"/>
              </w:rPr>
            </w:pPr>
            <w:r w:rsidRPr="00D14636">
              <w:rPr>
                <w:rFonts w:asciiTheme="minorHAnsi" w:hAnsiTheme="minorHAnsi" w:cstheme="minorHAnsi"/>
              </w:rPr>
              <w:t xml:space="preserve">The Joint Commission (2017). </w:t>
            </w:r>
            <w:r w:rsidRPr="00D14636">
              <w:rPr>
                <w:rFonts w:asciiTheme="minorHAnsi" w:hAnsiTheme="minorHAnsi" w:cstheme="minorHAnsi"/>
                <w:i/>
                <w:iCs/>
              </w:rPr>
              <w:t xml:space="preserve">Requirements for the </w:t>
            </w:r>
            <w:r w:rsidR="00A45FBA" w:rsidRPr="00D14636">
              <w:rPr>
                <w:rFonts w:asciiTheme="minorHAnsi" w:hAnsiTheme="minorHAnsi" w:cstheme="minorHAnsi"/>
                <w:i/>
                <w:iCs/>
              </w:rPr>
              <w:t>c</w:t>
            </w:r>
            <w:r w:rsidRPr="00D14636">
              <w:rPr>
                <w:rFonts w:asciiTheme="minorHAnsi" w:hAnsiTheme="minorHAnsi" w:cstheme="minorHAnsi"/>
                <w:i/>
                <w:iCs/>
              </w:rPr>
              <w:t>atheter-</w:t>
            </w:r>
            <w:r w:rsidR="00A45FBA" w:rsidRPr="00D14636">
              <w:rPr>
                <w:rFonts w:asciiTheme="minorHAnsi" w:hAnsiTheme="minorHAnsi" w:cstheme="minorHAnsi"/>
                <w:i/>
                <w:iCs/>
              </w:rPr>
              <w:t>a</w:t>
            </w:r>
            <w:r w:rsidRPr="00D14636">
              <w:rPr>
                <w:rFonts w:asciiTheme="minorHAnsi" w:hAnsiTheme="minorHAnsi" w:cstheme="minorHAnsi"/>
                <w:i/>
                <w:iCs/>
              </w:rPr>
              <w:t xml:space="preserve">ssociated </w:t>
            </w:r>
            <w:r w:rsidR="00A45FBA" w:rsidRPr="00D14636">
              <w:rPr>
                <w:rFonts w:asciiTheme="minorHAnsi" w:hAnsiTheme="minorHAnsi" w:cstheme="minorHAnsi"/>
                <w:i/>
                <w:iCs/>
              </w:rPr>
              <w:t>u</w:t>
            </w:r>
            <w:r w:rsidRPr="00D14636">
              <w:rPr>
                <w:rFonts w:asciiTheme="minorHAnsi" w:hAnsiTheme="minorHAnsi" w:cstheme="minorHAnsi"/>
                <w:i/>
                <w:iCs/>
              </w:rPr>
              <w:t xml:space="preserve">rinary </w:t>
            </w:r>
            <w:r w:rsidR="00A45FBA" w:rsidRPr="00D14636">
              <w:rPr>
                <w:rFonts w:asciiTheme="minorHAnsi" w:hAnsiTheme="minorHAnsi" w:cstheme="minorHAnsi"/>
                <w:i/>
                <w:iCs/>
              </w:rPr>
              <w:t>t</w:t>
            </w:r>
            <w:r w:rsidRPr="00D14636">
              <w:rPr>
                <w:rFonts w:asciiTheme="minorHAnsi" w:hAnsiTheme="minorHAnsi" w:cstheme="minorHAnsi"/>
                <w:i/>
                <w:iCs/>
              </w:rPr>
              <w:t xml:space="preserve">ract </w:t>
            </w:r>
            <w:r w:rsidR="00A45FBA" w:rsidRPr="00D14636">
              <w:rPr>
                <w:rFonts w:asciiTheme="minorHAnsi" w:hAnsiTheme="minorHAnsi" w:cstheme="minorHAnsi"/>
                <w:i/>
                <w:iCs/>
              </w:rPr>
              <w:t>i</w:t>
            </w:r>
            <w:r w:rsidRPr="00D14636">
              <w:rPr>
                <w:rFonts w:asciiTheme="minorHAnsi" w:hAnsiTheme="minorHAnsi" w:cstheme="minorHAnsi"/>
                <w:i/>
                <w:iCs/>
              </w:rPr>
              <w:t xml:space="preserve">nfections (CAUTI) </w:t>
            </w:r>
            <w:r w:rsidR="00A45FBA" w:rsidRPr="00D14636">
              <w:rPr>
                <w:rFonts w:asciiTheme="minorHAnsi" w:hAnsiTheme="minorHAnsi" w:cstheme="minorHAnsi"/>
                <w:i/>
                <w:iCs/>
              </w:rPr>
              <w:t>n</w:t>
            </w:r>
            <w:r w:rsidRPr="00D14636">
              <w:rPr>
                <w:rFonts w:asciiTheme="minorHAnsi" w:hAnsiTheme="minorHAnsi" w:cstheme="minorHAnsi"/>
                <w:i/>
                <w:iCs/>
              </w:rPr>
              <w:t xml:space="preserve">ational </w:t>
            </w:r>
            <w:r w:rsidR="00A45FBA" w:rsidRPr="00D14636">
              <w:rPr>
                <w:rFonts w:asciiTheme="minorHAnsi" w:hAnsiTheme="minorHAnsi" w:cstheme="minorHAnsi"/>
                <w:i/>
                <w:iCs/>
              </w:rPr>
              <w:t>p</w:t>
            </w:r>
            <w:r w:rsidRPr="00D14636">
              <w:rPr>
                <w:rFonts w:asciiTheme="minorHAnsi" w:hAnsiTheme="minorHAnsi" w:cstheme="minorHAnsi"/>
                <w:i/>
                <w:iCs/>
              </w:rPr>
              <w:t xml:space="preserve">atient </w:t>
            </w:r>
            <w:r w:rsidR="00A45FBA" w:rsidRPr="00D14636">
              <w:rPr>
                <w:rFonts w:asciiTheme="minorHAnsi" w:hAnsiTheme="minorHAnsi" w:cstheme="minorHAnsi"/>
                <w:i/>
                <w:iCs/>
              </w:rPr>
              <w:t>s</w:t>
            </w:r>
            <w:r w:rsidRPr="00D14636">
              <w:rPr>
                <w:rFonts w:asciiTheme="minorHAnsi" w:hAnsiTheme="minorHAnsi" w:cstheme="minorHAnsi"/>
                <w:i/>
                <w:iCs/>
              </w:rPr>
              <w:t xml:space="preserve">afety </w:t>
            </w:r>
            <w:r w:rsidR="00A45FBA" w:rsidRPr="00D14636">
              <w:rPr>
                <w:rFonts w:asciiTheme="minorHAnsi" w:hAnsiTheme="minorHAnsi" w:cstheme="minorHAnsi"/>
                <w:i/>
                <w:iCs/>
              </w:rPr>
              <w:t>g</w:t>
            </w:r>
            <w:r w:rsidRPr="00D14636">
              <w:rPr>
                <w:rFonts w:asciiTheme="minorHAnsi" w:hAnsiTheme="minorHAnsi" w:cstheme="minorHAnsi"/>
                <w:i/>
                <w:iCs/>
              </w:rPr>
              <w:t xml:space="preserve">oal for </w:t>
            </w:r>
            <w:r w:rsidR="00A45FBA" w:rsidRPr="00D14636">
              <w:rPr>
                <w:rFonts w:asciiTheme="minorHAnsi" w:hAnsiTheme="minorHAnsi" w:cstheme="minorHAnsi"/>
                <w:i/>
                <w:iCs/>
              </w:rPr>
              <w:t>h</w:t>
            </w:r>
            <w:r w:rsidRPr="00D14636">
              <w:rPr>
                <w:rFonts w:asciiTheme="minorHAnsi" w:hAnsiTheme="minorHAnsi" w:cstheme="minorHAnsi"/>
                <w:i/>
                <w:iCs/>
              </w:rPr>
              <w:t xml:space="preserve">ospitals. </w:t>
            </w:r>
            <w:r w:rsidRPr="00D14636">
              <w:rPr>
                <w:rFonts w:asciiTheme="minorHAnsi" w:hAnsiTheme="minorHAnsi" w:cstheme="minorHAnsi"/>
              </w:rPr>
              <w:t xml:space="preserve">DOI: </w:t>
            </w:r>
            <w:hyperlink r:id="rId9" w:history="1">
              <w:r w:rsidR="00A45FBA" w:rsidRPr="00D14636">
                <w:rPr>
                  <w:rStyle w:val="Hyperlink"/>
                  <w:rFonts w:asciiTheme="minorHAnsi" w:hAnsiTheme="minorHAnsi" w:cstheme="minorHAnsi"/>
                </w:rPr>
                <w:t>https://www.jointcommission.org/-/media/deprecated-unorganized/imported-assets/tjc/system-folders/joint-commission-online/r3_cauti_happdf.pdf?db=web&amp;hash=14DAAC2A1515E7865E3D4BCA8991EA8D</w:t>
              </w:r>
            </w:hyperlink>
          </w:p>
          <w:p w14:paraId="03E0CBC4" w14:textId="2860FB54" w:rsidR="00A45FBA" w:rsidRPr="00D14636" w:rsidRDefault="00A45FBA" w:rsidP="005E059C">
            <w:pPr>
              <w:pStyle w:val="NormalWeb"/>
              <w:spacing w:line="480" w:lineRule="auto"/>
              <w:ind w:left="522" w:hanging="450"/>
              <w:rPr>
                <w:rFonts w:asciiTheme="minorHAnsi" w:hAnsiTheme="minorHAnsi" w:cstheme="minorHAnsi"/>
              </w:rPr>
            </w:pPr>
            <w:r w:rsidRPr="00D14636">
              <w:rPr>
                <w:rFonts w:asciiTheme="minorHAnsi" w:hAnsiTheme="minorHAnsi" w:cstheme="minorHAnsi"/>
                <w:color w:val="333333"/>
                <w:shd w:val="clear" w:color="auto" w:fill="FFFFFF"/>
              </w:rPr>
              <w:t xml:space="preserve">Lo, E., Nicolle, L., Coffin, S., Gould, C., Maragakis, L., </w:t>
            </w:r>
            <w:proofErr w:type="spellStart"/>
            <w:r w:rsidRPr="00D14636">
              <w:rPr>
                <w:rFonts w:asciiTheme="minorHAnsi" w:hAnsiTheme="minorHAnsi" w:cstheme="minorHAnsi"/>
                <w:color w:val="333333"/>
                <w:shd w:val="clear" w:color="auto" w:fill="FFFFFF"/>
              </w:rPr>
              <w:t>Meddings</w:t>
            </w:r>
            <w:proofErr w:type="spellEnd"/>
            <w:r w:rsidRPr="00D14636">
              <w:rPr>
                <w:rFonts w:asciiTheme="minorHAnsi" w:hAnsiTheme="minorHAnsi" w:cstheme="minorHAnsi"/>
                <w:color w:val="333333"/>
                <w:shd w:val="clear" w:color="auto" w:fill="FFFFFF"/>
              </w:rPr>
              <w:t xml:space="preserve">, J., . . . </w:t>
            </w:r>
            <w:proofErr w:type="spellStart"/>
            <w:r w:rsidRPr="00D14636">
              <w:rPr>
                <w:rFonts w:asciiTheme="minorHAnsi" w:hAnsiTheme="minorHAnsi" w:cstheme="minorHAnsi"/>
                <w:color w:val="333333"/>
                <w:shd w:val="clear" w:color="auto" w:fill="FFFFFF"/>
              </w:rPr>
              <w:t>Yokoe</w:t>
            </w:r>
            <w:proofErr w:type="spellEnd"/>
            <w:r w:rsidRPr="00D14636">
              <w:rPr>
                <w:rFonts w:asciiTheme="minorHAnsi" w:hAnsiTheme="minorHAnsi" w:cstheme="minorHAnsi"/>
                <w:color w:val="333333"/>
                <w:shd w:val="clear" w:color="auto" w:fill="FFFFFF"/>
              </w:rPr>
              <w:t>, D. (2014). Strategies to prevent catheter-associated urinary tract infections in acute care hospitals: 2014 Update. </w:t>
            </w:r>
            <w:r w:rsidRPr="00D14636">
              <w:rPr>
                <w:rFonts w:asciiTheme="minorHAnsi" w:hAnsiTheme="minorHAnsi" w:cstheme="minorHAnsi"/>
                <w:i/>
                <w:iCs/>
                <w:color w:val="333333"/>
                <w:shd w:val="clear" w:color="auto" w:fill="FFFFFF"/>
              </w:rPr>
              <w:t>Infection Control and Hospital Epidemiology,</w:t>
            </w:r>
            <w:r w:rsidRPr="00D14636">
              <w:rPr>
                <w:rFonts w:asciiTheme="minorHAnsi" w:hAnsiTheme="minorHAnsi" w:cstheme="minorHAnsi"/>
                <w:color w:val="333333"/>
                <w:shd w:val="clear" w:color="auto" w:fill="FFFFFF"/>
              </w:rPr>
              <w:t> </w:t>
            </w:r>
            <w:r w:rsidRPr="00D14636">
              <w:rPr>
                <w:rFonts w:asciiTheme="minorHAnsi" w:hAnsiTheme="minorHAnsi" w:cstheme="minorHAnsi"/>
                <w:i/>
                <w:iCs/>
                <w:color w:val="333333"/>
                <w:shd w:val="clear" w:color="auto" w:fill="FFFFFF"/>
              </w:rPr>
              <w:t>35</w:t>
            </w:r>
            <w:r w:rsidRPr="00D14636">
              <w:rPr>
                <w:rFonts w:asciiTheme="minorHAnsi" w:hAnsiTheme="minorHAnsi" w:cstheme="minorHAnsi"/>
                <w:color w:val="333333"/>
                <w:shd w:val="clear" w:color="auto" w:fill="FFFFFF"/>
              </w:rPr>
              <w:t>(5), 464-479. doi:10.1086/675718</w:t>
            </w:r>
          </w:p>
          <w:p w14:paraId="118A0996" w14:textId="31D57913" w:rsidR="00821686" w:rsidRPr="00D14636" w:rsidRDefault="00821686" w:rsidP="005E059C">
            <w:pPr>
              <w:pStyle w:val="NormalWeb"/>
              <w:spacing w:line="480" w:lineRule="auto"/>
              <w:ind w:left="522" w:hanging="450"/>
              <w:rPr>
                <w:rFonts w:asciiTheme="minorHAnsi" w:hAnsiTheme="minorHAnsi" w:cstheme="minorHAnsi"/>
              </w:rPr>
            </w:pPr>
            <w:r w:rsidRPr="00D14636">
              <w:rPr>
                <w:rFonts w:asciiTheme="minorHAnsi" w:hAnsiTheme="minorHAnsi" w:cstheme="minorHAnsi"/>
              </w:rPr>
              <w:lastRenderedPageBreak/>
              <w:t xml:space="preserve">Moore, K. &amp; Franklin, L. (2016). Indwelling and intermittent catheterization. In D. Doughty &amp; K. Moore (Eds.), </w:t>
            </w:r>
            <w:r w:rsidRPr="00D14636">
              <w:rPr>
                <w:rFonts w:asciiTheme="minorHAnsi" w:hAnsiTheme="minorHAnsi" w:cstheme="minorHAnsi"/>
                <w:i/>
                <w:iCs/>
              </w:rPr>
              <w:t>Wound, Ostomy and Continence Nurses Society</w:t>
            </w:r>
            <w:r w:rsidRPr="00D14636">
              <w:rPr>
                <w:rFonts w:asciiTheme="minorHAnsi" w:hAnsiTheme="minorHAnsi" w:cstheme="minorHAnsi"/>
                <w:i/>
                <w:iCs/>
                <w:vertAlign w:val="superscript"/>
              </w:rPr>
              <w:t>TM</w:t>
            </w:r>
            <w:r w:rsidRPr="00D14636">
              <w:rPr>
                <w:rFonts w:asciiTheme="minorHAnsi" w:hAnsiTheme="minorHAnsi" w:cstheme="minorHAnsi"/>
                <w:i/>
                <w:iCs/>
              </w:rPr>
              <w:t xml:space="preserve"> core curriculum: Continence management</w:t>
            </w:r>
            <w:r w:rsidRPr="00D14636">
              <w:rPr>
                <w:rFonts w:asciiTheme="minorHAnsi" w:hAnsiTheme="minorHAnsi" w:cstheme="minorHAnsi"/>
              </w:rPr>
              <w:t xml:space="preserve"> (p. </w:t>
            </w:r>
            <w:r w:rsidR="002C57F2" w:rsidRPr="00D14636">
              <w:rPr>
                <w:rFonts w:asciiTheme="minorHAnsi" w:hAnsiTheme="minorHAnsi" w:cstheme="minorHAnsi"/>
              </w:rPr>
              <w:t>23</w:t>
            </w:r>
            <w:r w:rsidR="009710DF" w:rsidRPr="00D14636">
              <w:rPr>
                <w:rFonts w:asciiTheme="minorHAnsi" w:hAnsiTheme="minorHAnsi" w:cstheme="minorHAnsi"/>
              </w:rPr>
              <w:t>4</w:t>
            </w:r>
            <w:r w:rsidRPr="00D14636">
              <w:rPr>
                <w:rFonts w:asciiTheme="minorHAnsi" w:hAnsiTheme="minorHAnsi" w:cstheme="minorHAnsi"/>
              </w:rPr>
              <w:t>). Wolters Kluwer.</w:t>
            </w:r>
          </w:p>
          <w:p w14:paraId="1BB7794B" w14:textId="255676E4" w:rsidR="00821686" w:rsidRPr="00D14636" w:rsidRDefault="00A33D96" w:rsidP="005E059C">
            <w:pPr>
              <w:pStyle w:val="Heading1"/>
              <w:shd w:val="clear" w:color="auto" w:fill="FFFFFF"/>
              <w:spacing w:before="0" w:after="225" w:line="480" w:lineRule="auto"/>
              <w:ind w:left="522" w:hanging="450"/>
              <w:outlineLvl w:val="0"/>
              <w:rPr>
                <w:rFonts w:asciiTheme="minorHAnsi" w:hAnsiTheme="minorHAnsi" w:cstheme="minorHAnsi"/>
                <w:i/>
                <w:iCs/>
                <w:color w:val="636363"/>
                <w:sz w:val="24"/>
                <w:szCs w:val="24"/>
              </w:rPr>
            </w:pPr>
            <w:r w:rsidRPr="00D14636">
              <w:rPr>
                <w:rFonts w:asciiTheme="minorHAnsi" w:hAnsiTheme="minorHAnsi" w:cstheme="minorHAnsi"/>
                <w:color w:val="auto"/>
                <w:sz w:val="24"/>
                <w:szCs w:val="24"/>
              </w:rPr>
              <w:t xml:space="preserve">Vitality Medical (Retrieved September 10, 2020). Urinary supplies comparison and catheter sizing guide </w:t>
            </w:r>
            <w:r w:rsidRPr="00D14636">
              <w:rPr>
                <w:rFonts w:asciiTheme="minorHAnsi" w:hAnsiTheme="minorHAnsi" w:cstheme="minorHAnsi"/>
                <w:i/>
                <w:iCs/>
                <w:color w:val="auto"/>
                <w:sz w:val="24"/>
                <w:szCs w:val="24"/>
                <w:shd w:val="clear" w:color="auto" w:fill="FFFFFF"/>
              </w:rPr>
              <w:t>DOI: https://www.vitalitymedical.com/guides/urinary/catheter-product-comparison-and-sizing-guide#question3</w:t>
            </w:r>
          </w:p>
        </w:tc>
      </w:tr>
    </w:tbl>
    <w:p w14:paraId="02C60EE1" w14:textId="77777777" w:rsidR="00436B53" w:rsidRPr="00D14636" w:rsidRDefault="00436B53" w:rsidP="00B40FA0">
      <w:pPr>
        <w:rPr>
          <w:rFonts w:cstheme="minorHAnsi"/>
          <w:b/>
          <w:bCs/>
          <w:color w:val="FF0000"/>
          <w:sz w:val="24"/>
          <w:szCs w:val="24"/>
        </w:rPr>
      </w:pPr>
    </w:p>
    <w:p w14:paraId="03357215" w14:textId="77777777" w:rsidR="00347CB3" w:rsidRPr="00D14636" w:rsidRDefault="00347CB3" w:rsidP="00B40FA0">
      <w:pPr>
        <w:rPr>
          <w:rFonts w:cstheme="minorHAnsi"/>
          <w:b/>
          <w:bCs/>
          <w:sz w:val="24"/>
          <w:szCs w:val="24"/>
        </w:rPr>
      </w:pPr>
    </w:p>
    <w:p w14:paraId="346646C8" w14:textId="6BCCC936" w:rsidR="008F1277" w:rsidRPr="00D14636" w:rsidRDefault="008F1277" w:rsidP="00B40FA0">
      <w:pPr>
        <w:rPr>
          <w:rFonts w:cstheme="minorHAnsi"/>
          <w:b/>
          <w:bCs/>
          <w:sz w:val="24"/>
          <w:szCs w:val="24"/>
        </w:rPr>
      </w:pPr>
    </w:p>
    <w:p w14:paraId="54EB5EAA" w14:textId="77777777" w:rsidR="005A3988" w:rsidRPr="00D14636" w:rsidRDefault="005A3988" w:rsidP="00B40FA0">
      <w:pPr>
        <w:rPr>
          <w:rFonts w:cstheme="minorHAnsi"/>
          <w:b/>
          <w:bCs/>
          <w:sz w:val="24"/>
          <w:szCs w:val="24"/>
        </w:rPr>
      </w:pPr>
    </w:p>
    <w:p w14:paraId="52B62524" w14:textId="77777777" w:rsidR="00B40FA0" w:rsidRPr="00D14636" w:rsidRDefault="008F1277" w:rsidP="00B40FA0">
      <w:pPr>
        <w:rPr>
          <w:rFonts w:cstheme="minorHAnsi"/>
          <w:b/>
          <w:bCs/>
          <w:color w:val="FF0000"/>
          <w:sz w:val="24"/>
          <w:szCs w:val="24"/>
        </w:rPr>
      </w:pPr>
      <w:r w:rsidRPr="00D14636">
        <w:rPr>
          <w:rFonts w:cstheme="minorHAnsi"/>
          <w:b/>
          <w:bCs/>
          <w:sz w:val="24"/>
          <w:szCs w:val="24"/>
        </w:rPr>
        <w:t>Points</w:t>
      </w:r>
      <w:r w:rsidR="00B40FA0" w:rsidRPr="00D14636">
        <w:rPr>
          <w:rFonts w:cstheme="minorHAnsi"/>
          <w:b/>
          <w:bCs/>
          <w:sz w:val="24"/>
          <w:szCs w:val="24"/>
        </w:rPr>
        <w:t xml:space="preserve"> criteria: </w:t>
      </w:r>
    </w:p>
    <w:tbl>
      <w:tblPr>
        <w:tblW w:w="508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90"/>
        <w:gridCol w:w="2590"/>
        <w:gridCol w:w="2590"/>
        <w:gridCol w:w="2590"/>
        <w:gridCol w:w="2810"/>
      </w:tblGrid>
      <w:tr w:rsidR="006F1D09" w:rsidRPr="00D14636" w14:paraId="77A1F8C8" w14:textId="77777777" w:rsidTr="004C31D4">
        <w:trPr>
          <w:tblHeader/>
          <w:tblCellSpacing w:w="0" w:type="dxa"/>
          <w:jc w:val="center"/>
        </w:trPr>
        <w:tc>
          <w:tcPr>
            <w:tcW w:w="983" w:type="pct"/>
            <w:shd w:val="clear" w:color="auto" w:fill="EFE7D8"/>
            <w:vAlign w:val="center"/>
          </w:tcPr>
          <w:p w14:paraId="30BBBB02" w14:textId="77777777" w:rsidR="006F1D09" w:rsidRPr="00D14636" w:rsidRDefault="006F1D09" w:rsidP="004C31D4">
            <w:pPr>
              <w:jc w:val="center"/>
              <w:rPr>
                <w:rFonts w:cstheme="minorHAnsi"/>
                <w:b/>
                <w:bCs/>
                <w:sz w:val="24"/>
                <w:szCs w:val="24"/>
              </w:rPr>
            </w:pPr>
            <w:r w:rsidRPr="00D14636">
              <w:rPr>
                <w:rFonts w:cstheme="minorHAnsi"/>
                <w:b/>
                <w:bCs/>
                <w:sz w:val="24"/>
                <w:szCs w:val="24"/>
              </w:rPr>
              <w:t>Criteria</w:t>
            </w:r>
          </w:p>
        </w:tc>
        <w:tc>
          <w:tcPr>
            <w:tcW w:w="983" w:type="pct"/>
            <w:shd w:val="clear" w:color="auto" w:fill="EFE7D8"/>
            <w:vAlign w:val="center"/>
          </w:tcPr>
          <w:p w14:paraId="2D0208E7" w14:textId="77777777" w:rsidR="006F1D09" w:rsidRPr="00D14636" w:rsidRDefault="006F1D09" w:rsidP="004C31D4">
            <w:pPr>
              <w:jc w:val="center"/>
              <w:rPr>
                <w:rFonts w:cstheme="minorHAnsi"/>
                <w:b/>
                <w:bCs/>
                <w:sz w:val="24"/>
                <w:szCs w:val="24"/>
              </w:rPr>
            </w:pPr>
            <w:r w:rsidRPr="00D14636">
              <w:rPr>
                <w:rFonts w:cstheme="minorHAnsi"/>
                <w:b/>
                <w:bCs/>
                <w:sz w:val="24"/>
                <w:szCs w:val="24"/>
              </w:rPr>
              <w:t>Under performance</w:t>
            </w:r>
          </w:p>
          <w:p w14:paraId="421C6334" w14:textId="77777777" w:rsidR="006F1D09" w:rsidRPr="00D14636" w:rsidRDefault="006F1D09" w:rsidP="004C31D4">
            <w:pPr>
              <w:jc w:val="center"/>
              <w:rPr>
                <w:rFonts w:cstheme="minorHAnsi"/>
                <w:b/>
                <w:bCs/>
                <w:sz w:val="24"/>
                <w:szCs w:val="24"/>
              </w:rPr>
            </w:pPr>
            <w:r w:rsidRPr="00D14636">
              <w:rPr>
                <w:rFonts w:cstheme="minorHAnsi"/>
                <w:b/>
                <w:bCs/>
                <w:sz w:val="24"/>
                <w:szCs w:val="24"/>
              </w:rPr>
              <w:t>&lt;3 points per criteria</w:t>
            </w:r>
          </w:p>
        </w:tc>
        <w:tc>
          <w:tcPr>
            <w:tcW w:w="983" w:type="pct"/>
            <w:shd w:val="clear" w:color="auto" w:fill="EFE7D8"/>
            <w:vAlign w:val="center"/>
          </w:tcPr>
          <w:p w14:paraId="5616A133" w14:textId="77777777" w:rsidR="006F1D09" w:rsidRPr="00D14636" w:rsidRDefault="006F1D09" w:rsidP="004C31D4">
            <w:pPr>
              <w:jc w:val="center"/>
              <w:rPr>
                <w:rFonts w:cstheme="minorHAnsi"/>
                <w:b/>
                <w:bCs/>
                <w:sz w:val="24"/>
                <w:szCs w:val="24"/>
              </w:rPr>
            </w:pPr>
            <w:r w:rsidRPr="00D14636">
              <w:rPr>
                <w:rFonts w:cstheme="minorHAnsi"/>
                <w:b/>
                <w:bCs/>
                <w:sz w:val="24"/>
                <w:szCs w:val="24"/>
              </w:rPr>
              <w:t>Basic</w:t>
            </w:r>
          </w:p>
          <w:p w14:paraId="3D32FD2A" w14:textId="77777777" w:rsidR="006F1D09" w:rsidRPr="00D14636" w:rsidRDefault="006F1D09" w:rsidP="004C31D4">
            <w:pPr>
              <w:jc w:val="center"/>
              <w:rPr>
                <w:rFonts w:cstheme="minorHAnsi"/>
                <w:b/>
                <w:bCs/>
                <w:sz w:val="24"/>
                <w:szCs w:val="24"/>
              </w:rPr>
            </w:pPr>
            <w:r w:rsidRPr="00D14636">
              <w:rPr>
                <w:rFonts w:cstheme="minorHAnsi"/>
                <w:b/>
                <w:bCs/>
                <w:sz w:val="24"/>
                <w:szCs w:val="24"/>
              </w:rPr>
              <w:t>3 – 3.9 points per criteria</w:t>
            </w:r>
          </w:p>
        </w:tc>
        <w:tc>
          <w:tcPr>
            <w:tcW w:w="983" w:type="pct"/>
            <w:shd w:val="clear" w:color="auto" w:fill="EFE7D8"/>
            <w:vAlign w:val="center"/>
          </w:tcPr>
          <w:p w14:paraId="682713B7" w14:textId="77777777" w:rsidR="006F1D09" w:rsidRPr="00D14636" w:rsidRDefault="006F1D09" w:rsidP="004C31D4">
            <w:pPr>
              <w:jc w:val="center"/>
              <w:rPr>
                <w:rFonts w:cstheme="minorHAnsi"/>
                <w:b/>
                <w:bCs/>
                <w:sz w:val="24"/>
                <w:szCs w:val="24"/>
              </w:rPr>
            </w:pPr>
            <w:r w:rsidRPr="00D14636">
              <w:rPr>
                <w:rFonts w:cstheme="minorHAnsi"/>
                <w:b/>
                <w:bCs/>
                <w:sz w:val="24"/>
                <w:szCs w:val="24"/>
              </w:rPr>
              <w:t>Proficient</w:t>
            </w:r>
          </w:p>
          <w:p w14:paraId="3E2C3D0E" w14:textId="77777777" w:rsidR="006F1D09" w:rsidRPr="00D14636" w:rsidRDefault="006F1D09" w:rsidP="004C31D4">
            <w:pPr>
              <w:jc w:val="center"/>
              <w:rPr>
                <w:rFonts w:cstheme="minorHAnsi"/>
                <w:b/>
                <w:bCs/>
                <w:sz w:val="24"/>
                <w:szCs w:val="24"/>
              </w:rPr>
            </w:pPr>
            <w:r w:rsidRPr="00D14636">
              <w:rPr>
                <w:rFonts w:cstheme="minorHAnsi"/>
                <w:b/>
                <w:bCs/>
                <w:sz w:val="24"/>
                <w:szCs w:val="24"/>
              </w:rPr>
              <w:t>4.0 – 4.4 points per criteria</w:t>
            </w:r>
          </w:p>
        </w:tc>
        <w:tc>
          <w:tcPr>
            <w:tcW w:w="1067" w:type="pct"/>
            <w:shd w:val="clear" w:color="auto" w:fill="EFE7D8"/>
            <w:vAlign w:val="center"/>
          </w:tcPr>
          <w:p w14:paraId="422F194D" w14:textId="77777777" w:rsidR="006F1D09" w:rsidRPr="00D14636" w:rsidRDefault="006F1D09" w:rsidP="004C31D4">
            <w:pPr>
              <w:jc w:val="center"/>
              <w:rPr>
                <w:rFonts w:cstheme="minorHAnsi"/>
                <w:b/>
                <w:bCs/>
                <w:sz w:val="24"/>
                <w:szCs w:val="24"/>
              </w:rPr>
            </w:pPr>
            <w:r w:rsidRPr="00D14636">
              <w:rPr>
                <w:rFonts w:cstheme="minorHAnsi"/>
                <w:b/>
                <w:bCs/>
                <w:sz w:val="24"/>
                <w:szCs w:val="24"/>
              </w:rPr>
              <w:t>Distinguished</w:t>
            </w:r>
          </w:p>
          <w:p w14:paraId="23EA894C" w14:textId="77777777" w:rsidR="006F1D09" w:rsidRPr="00D14636" w:rsidRDefault="006F1D09" w:rsidP="004C31D4">
            <w:pPr>
              <w:jc w:val="center"/>
              <w:rPr>
                <w:rFonts w:cstheme="minorHAnsi"/>
                <w:b/>
                <w:bCs/>
                <w:sz w:val="24"/>
                <w:szCs w:val="24"/>
              </w:rPr>
            </w:pPr>
            <w:r w:rsidRPr="00D14636">
              <w:rPr>
                <w:rFonts w:cstheme="minorHAnsi"/>
                <w:b/>
                <w:bCs/>
                <w:sz w:val="24"/>
                <w:szCs w:val="24"/>
              </w:rPr>
              <w:t>4.5 – 5 points per criteria</w:t>
            </w:r>
          </w:p>
        </w:tc>
      </w:tr>
      <w:tr w:rsidR="006F1D09" w:rsidRPr="00D14636" w14:paraId="679098CA" w14:textId="77777777" w:rsidTr="004C31D4">
        <w:trPr>
          <w:tblCellSpacing w:w="0" w:type="dxa"/>
          <w:jc w:val="center"/>
        </w:trPr>
        <w:tc>
          <w:tcPr>
            <w:tcW w:w="983" w:type="pct"/>
            <w:vAlign w:val="center"/>
          </w:tcPr>
          <w:p w14:paraId="1BD1F822" w14:textId="77777777" w:rsidR="006F1D09" w:rsidRPr="00D14636" w:rsidRDefault="006F1D09" w:rsidP="004C31D4">
            <w:pPr>
              <w:rPr>
                <w:rFonts w:cstheme="minorHAnsi"/>
                <w:sz w:val="24"/>
                <w:szCs w:val="24"/>
              </w:rPr>
            </w:pPr>
            <w:r w:rsidRPr="00D14636">
              <w:rPr>
                <w:rFonts w:cstheme="minorHAnsi"/>
                <w:b/>
                <w:bCs/>
                <w:sz w:val="24"/>
                <w:szCs w:val="24"/>
              </w:rPr>
              <w:t>Required content objectives</w:t>
            </w:r>
          </w:p>
        </w:tc>
        <w:tc>
          <w:tcPr>
            <w:tcW w:w="983" w:type="pct"/>
          </w:tcPr>
          <w:p w14:paraId="61290458" w14:textId="77777777" w:rsidR="006F1D09" w:rsidRPr="00D14636" w:rsidRDefault="006F1D09" w:rsidP="004C31D4">
            <w:pPr>
              <w:rPr>
                <w:rFonts w:cstheme="minorHAnsi"/>
                <w:sz w:val="24"/>
                <w:szCs w:val="24"/>
              </w:rPr>
            </w:pPr>
            <w:r w:rsidRPr="00D14636">
              <w:rPr>
                <w:rFonts w:cstheme="minorHAnsi"/>
                <w:sz w:val="24"/>
                <w:szCs w:val="24"/>
              </w:rPr>
              <w:t xml:space="preserve">Content objectives are missing or sparsely covered. </w:t>
            </w:r>
          </w:p>
        </w:tc>
        <w:tc>
          <w:tcPr>
            <w:tcW w:w="983" w:type="pct"/>
          </w:tcPr>
          <w:p w14:paraId="7D98958E" w14:textId="77777777" w:rsidR="006F1D09" w:rsidRPr="00D14636" w:rsidRDefault="006F1D09" w:rsidP="004C31D4">
            <w:pPr>
              <w:rPr>
                <w:rFonts w:cstheme="minorHAnsi"/>
                <w:sz w:val="24"/>
                <w:szCs w:val="24"/>
              </w:rPr>
            </w:pPr>
            <w:r w:rsidRPr="00D14636">
              <w:rPr>
                <w:rFonts w:cstheme="minorHAnsi"/>
                <w:sz w:val="24"/>
                <w:szCs w:val="24"/>
              </w:rPr>
              <w:t xml:space="preserve">Content objectives are not consistently addressed. Demonstrates </w:t>
            </w:r>
            <w:r w:rsidRPr="00D14636">
              <w:rPr>
                <w:rFonts w:cstheme="minorHAnsi"/>
                <w:sz w:val="24"/>
                <w:szCs w:val="24"/>
              </w:rPr>
              <w:lastRenderedPageBreak/>
              <w:t xml:space="preserve">minimal understanding of content. </w:t>
            </w:r>
          </w:p>
        </w:tc>
        <w:tc>
          <w:tcPr>
            <w:tcW w:w="983" w:type="pct"/>
          </w:tcPr>
          <w:p w14:paraId="61AE76DF" w14:textId="77777777" w:rsidR="006F1D09" w:rsidRPr="00D14636" w:rsidRDefault="006F1D09" w:rsidP="004C31D4">
            <w:pPr>
              <w:rPr>
                <w:rFonts w:cstheme="minorHAnsi"/>
                <w:sz w:val="24"/>
                <w:szCs w:val="24"/>
              </w:rPr>
            </w:pPr>
            <w:r w:rsidRPr="00D14636">
              <w:rPr>
                <w:rFonts w:cstheme="minorHAnsi"/>
                <w:sz w:val="24"/>
                <w:szCs w:val="24"/>
              </w:rPr>
              <w:lastRenderedPageBreak/>
              <w:t xml:space="preserve">Content objectives consistently addressed. Demonstrates </w:t>
            </w:r>
            <w:r w:rsidRPr="00D14636">
              <w:rPr>
                <w:rFonts w:cstheme="minorHAnsi"/>
                <w:sz w:val="24"/>
                <w:szCs w:val="24"/>
              </w:rPr>
              <w:lastRenderedPageBreak/>
              <w:t xml:space="preserve">understanding of content. </w:t>
            </w:r>
          </w:p>
        </w:tc>
        <w:tc>
          <w:tcPr>
            <w:tcW w:w="1067" w:type="pct"/>
          </w:tcPr>
          <w:p w14:paraId="7D1346D0" w14:textId="77777777" w:rsidR="006F1D09" w:rsidRPr="00D14636" w:rsidRDefault="006F1D09" w:rsidP="004C31D4">
            <w:pPr>
              <w:rPr>
                <w:rFonts w:cstheme="minorHAnsi"/>
                <w:sz w:val="24"/>
                <w:szCs w:val="24"/>
              </w:rPr>
            </w:pPr>
            <w:r w:rsidRPr="00D14636">
              <w:rPr>
                <w:rFonts w:cstheme="minorHAnsi"/>
                <w:sz w:val="24"/>
                <w:szCs w:val="24"/>
              </w:rPr>
              <w:lastRenderedPageBreak/>
              <w:t xml:space="preserve">Content objectives consistently addressed. Demonstrates mastery of content. </w:t>
            </w:r>
          </w:p>
        </w:tc>
      </w:tr>
      <w:tr w:rsidR="006F1D09" w:rsidRPr="00D14636" w14:paraId="29741031" w14:textId="77777777" w:rsidTr="004C31D4">
        <w:trPr>
          <w:tblCellSpacing w:w="0" w:type="dxa"/>
          <w:jc w:val="center"/>
        </w:trPr>
        <w:tc>
          <w:tcPr>
            <w:tcW w:w="983" w:type="pct"/>
            <w:vAlign w:val="center"/>
          </w:tcPr>
          <w:p w14:paraId="314267B5" w14:textId="77777777" w:rsidR="006F1D09" w:rsidRPr="00D14636" w:rsidRDefault="006F1D09" w:rsidP="004C31D4">
            <w:pPr>
              <w:rPr>
                <w:rFonts w:cstheme="minorHAnsi"/>
                <w:sz w:val="24"/>
                <w:szCs w:val="24"/>
              </w:rPr>
            </w:pPr>
            <w:r w:rsidRPr="00D14636">
              <w:rPr>
                <w:rFonts w:cstheme="minorHAnsi"/>
                <w:b/>
                <w:bCs/>
                <w:sz w:val="24"/>
                <w:szCs w:val="24"/>
              </w:rPr>
              <w:t>Academic writing standards</w:t>
            </w:r>
          </w:p>
        </w:tc>
        <w:tc>
          <w:tcPr>
            <w:tcW w:w="983" w:type="pct"/>
          </w:tcPr>
          <w:p w14:paraId="5B915AED" w14:textId="77777777" w:rsidR="006F1D09" w:rsidRPr="00D14636" w:rsidRDefault="006F1D09" w:rsidP="004C31D4">
            <w:pPr>
              <w:rPr>
                <w:rFonts w:cstheme="minorHAnsi"/>
                <w:sz w:val="24"/>
                <w:szCs w:val="24"/>
              </w:rPr>
            </w:pPr>
            <w:r w:rsidRPr="00D14636">
              <w:rPr>
                <w:rFonts w:cstheme="minorHAnsi"/>
                <w:sz w:val="24"/>
                <w:szCs w:val="24"/>
              </w:rPr>
              <w:t>Writing lacks scholarly tone &amp; focus. Sparse content. Multiple grammatical, spelling, &amp; factual errors. Reliance on bullet points rather than effective writing in speaker notes. 4 or more direct quotes per project.</w:t>
            </w:r>
          </w:p>
        </w:tc>
        <w:tc>
          <w:tcPr>
            <w:tcW w:w="983" w:type="pct"/>
          </w:tcPr>
          <w:p w14:paraId="725A1D92" w14:textId="77777777" w:rsidR="006F1D09" w:rsidRPr="00D14636" w:rsidRDefault="006F1D09" w:rsidP="004C31D4">
            <w:pPr>
              <w:rPr>
                <w:rFonts w:cstheme="minorHAnsi"/>
                <w:sz w:val="24"/>
                <w:szCs w:val="24"/>
              </w:rPr>
            </w:pPr>
            <w:r w:rsidRPr="00D14636">
              <w:rPr>
                <w:rFonts w:cstheme="minorHAnsi"/>
                <w:sz w:val="24"/>
                <w:szCs w:val="24"/>
              </w:rPr>
              <w:t>Writing is unclear and/or disorganized. Inconsistent scholarly tone. Inadequate depth of content. Grammatical and spelling errors. No more than 3 direct quote of less than 40 words per project.</w:t>
            </w:r>
          </w:p>
        </w:tc>
        <w:tc>
          <w:tcPr>
            <w:tcW w:w="983" w:type="pct"/>
          </w:tcPr>
          <w:p w14:paraId="062D6453" w14:textId="77777777" w:rsidR="006F1D09" w:rsidRPr="00D14636" w:rsidRDefault="006F1D09" w:rsidP="004C31D4">
            <w:pPr>
              <w:rPr>
                <w:rFonts w:cstheme="minorHAnsi"/>
                <w:sz w:val="24"/>
                <w:szCs w:val="24"/>
              </w:rPr>
            </w:pPr>
            <w:r w:rsidRPr="00D14636">
              <w:rPr>
                <w:rFonts w:cstheme="minorHAnsi"/>
                <w:sz w:val="24"/>
                <w:szCs w:val="24"/>
              </w:rPr>
              <w:t>Writing demonstrates general exploration of content. Responses are clearly written using scholarly tone. Few grammatical and/or spelling errors. No more than 2 direct quote of less than 40 words per project.</w:t>
            </w:r>
          </w:p>
        </w:tc>
        <w:tc>
          <w:tcPr>
            <w:tcW w:w="1067" w:type="pct"/>
          </w:tcPr>
          <w:p w14:paraId="166E886A" w14:textId="77777777" w:rsidR="006F1D09" w:rsidRPr="00D14636" w:rsidRDefault="006F1D09" w:rsidP="004C31D4">
            <w:pPr>
              <w:rPr>
                <w:rFonts w:cstheme="minorHAnsi"/>
                <w:sz w:val="24"/>
                <w:szCs w:val="24"/>
              </w:rPr>
            </w:pPr>
            <w:r w:rsidRPr="00D14636">
              <w:rPr>
                <w:rFonts w:cstheme="minorHAnsi"/>
                <w:sz w:val="24"/>
                <w:szCs w:val="24"/>
              </w:rPr>
              <w:t>Writing demonstrates comprehensive exploration of content. Responses are clearly written using scholarly tone. Rare grammatical and/or spelling errors. No more than 1 direct quote of less than 40 words per project.</w:t>
            </w:r>
          </w:p>
        </w:tc>
      </w:tr>
      <w:tr w:rsidR="006F1D09" w:rsidRPr="00D14636" w14:paraId="0F21FB64" w14:textId="77777777" w:rsidTr="004C31D4">
        <w:trPr>
          <w:tblCellSpacing w:w="0" w:type="dxa"/>
          <w:jc w:val="center"/>
        </w:trPr>
        <w:tc>
          <w:tcPr>
            <w:tcW w:w="983" w:type="pct"/>
            <w:vAlign w:val="center"/>
          </w:tcPr>
          <w:p w14:paraId="649DFECA" w14:textId="77777777" w:rsidR="006F1D09" w:rsidRPr="00D14636" w:rsidRDefault="006F1D09" w:rsidP="004C31D4">
            <w:pPr>
              <w:rPr>
                <w:rFonts w:cstheme="minorHAnsi"/>
                <w:b/>
                <w:bCs/>
                <w:sz w:val="24"/>
                <w:szCs w:val="24"/>
              </w:rPr>
            </w:pPr>
            <w:r w:rsidRPr="00D14636">
              <w:rPr>
                <w:rFonts w:cstheme="minorHAnsi"/>
                <w:b/>
                <w:bCs/>
                <w:sz w:val="24"/>
                <w:szCs w:val="24"/>
              </w:rPr>
              <w:t xml:space="preserve">APA formatting </w:t>
            </w:r>
          </w:p>
        </w:tc>
        <w:tc>
          <w:tcPr>
            <w:tcW w:w="983" w:type="pct"/>
          </w:tcPr>
          <w:p w14:paraId="1C44872B" w14:textId="77777777" w:rsidR="006F1D09" w:rsidRPr="00D14636" w:rsidRDefault="006F1D09" w:rsidP="004C31D4">
            <w:pPr>
              <w:rPr>
                <w:rFonts w:cstheme="minorHAnsi"/>
                <w:sz w:val="24"/>
                <w:szCs w:val="24"/>
              </w:rPr>
            </w:pPr>
            <w:r w:rsidRPr="00D14636">
              <w:rPr>
                <w:rFonts w:cstheme="minorHAnsi"/>
                <w:sz w:val="24"/>
                <w:szCs w:val="24"/>
              </w:rPr>
              <w:t>References and citations have multiple errors or are missing.</w:t>
            </w:r>
          </w:p>
        </w:tc>
        <w:tc>
          <w:tcPr>
            <w:tcW w:w="983" w:type="pct"/>
          </w:tcPr>
          <w:p w14:paraId="0C0232CC" w14:textId="77777777" w:rsidR="006F1D09" w:rsidRPr="00D14636" w:rsidRDefault="006F1D09" w:rsidP="004C31D4">
            <w:pPr>
              <w:rPr>
                <w:rFonts w:cstheme="minorHAnsi"/>
                <w:sz w:val="24"/>
                <w:szCs w:val="24"/>
              </w:rPr>
            </w:pPr>
            <w:r w:rsidRPr="00D14636">
              <w:rPr>
                <w:rFonts w:cstheme="minorHAnsi"/>
                <w:sz w:val="24"/>
                <w:szCs w:val="24"/>
              </w:rPr>
              <w:t>References and citations have errors.</w:t>
            </w:r>
          </w:p>
        </w:tc>
        <w:tc>
          <w:tcPr>
            <w:tcW w:w="983" w:type="pct"/>
          </w:tcPr>
          <w:p w14:paraId="4B637C19" w14:textId="77777777" w:rsidR="006F1D09" w:rsidRPr="00D14636" w:rsidRDefault="006F1D09" w:rsidP="004C31D4">
            <w:pPr>
              <w:rPr>
                <w:rFonts w:cstheme="minorHAnsi"/>
                <w:sz w:val="24"/>
                <w:szCs w:val="24"/>
              </w:rPr>
            </w:pPr>
            <w:r w:rsidRPr="00D14636">
              <w:rPr>
                <w:rFonts w:cstheme="minorHAnsi"/>
                <w:sz w:val="24"/>
                <w:szCs w:val="24"/>
              </w:rPr>
              <w:t>References and citations have few errors.</w:t>
            </w:r>
          </w:p>
        </w:tc>
        <w:tc>
          <w:tcPr>
            <w:tcW w:w="1067" w:type="pct"/>
          </w:tcPr>
          <w:p w14:paraId="429CA991" w14:textId="77777777" w:rsidR="006F1D09" w:rsidRPr="00D14636" w:rsidRDefault="006F1D09" w:rsidP="004C31D4">
            <w:pPr>
              <w:rPr>
                <w:rFonts w:cstheme="minorHAnsi"/>
                <w:sz w:val="24"/>
                <w:szCs w:val="24"/>
              </w:rPr>
            </w:pPr>
            <w:r w:rsidRPr="00D14636">
              <w:rPr>
                <w:rFonts w:cstheme="minorHAnsi"/>
                <w:sz w:val="24"/>
                <w:szCs w:val="24"/>
              </w:rPr>
              <w:t>References and citations have rare errors.</w:t>
            </w:r>
          </w:p>
        </w:tc>
      </w:tr>
    </w:tbl>
    <w:p w14:paraId="25B5EB65" w14:textId="77777777" w:rsidR="006F1D09" w:rsidRPr="00D14636" w:rsidRDefault="006F1D09">
      <w:pPr>
        <w:rPr>
          <w:rFonts w:cstheme="minorHAnsi"/>
          <w:sz w:val="24"/>
          <w:szCs w:val="24"/>
        </w:rPr>
      </w:pPr>
    </w:p>
    <w:sectPr w:rsidR="006F1D09" w:rsidRPr="00D14636" w:rsidSect="00894161">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3A5B5" w14:textId="77777777" w:rsidR="00644545" w:rsidRDefault="00644545" w:rsidP="00B40FA0">
      <w:pPr>
        <w:spacing w:after="0" w:line="240" w:lineRule="auto"/>
      </w:pPr>
      <w:r>
        <w:separator/>
      </w:r>
    </w:p>
  </w:endnote>
  <w:endnote w:type="continuationSeparator" w:id="0">
    <w:p w14:paraId="76BB320E" w14:textId="77777777" w:rsidR="00644545" w:rsidRDefault="00644545" w:rsidP="00B4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1A956" w14:textId="77777777" w:rsidR="004C31D4" w:rsidRDefault="004C31D4">
    <w:pPr>
      <w:pStyle w:val="Footer"/>
    </w:pPr>
    <w:r>
      <w:t xml:space="preserve">R.B. Turnbull, Jr. MD School of WOC Nursing Education </w:t>
    </w:r>
  </w:p>
  <w:p w14:paraId="525A1C16" w14:textId="77777777" w:rsidR="004C31D4" w:rsidRDefault="004C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59E57" w14:textId="77777777" w:rsidR="00644545" w:rsidRDefault="00644545" w:rsidP="00B40FA0">
      <w:pPr>
        <w:spacing w:after="0" w:line="240" w:lineRule="auto"/>
      </w:pPr>
      <w:r>
        <w:separator/>
      </w:r>
    </w:p>
  </w:footnote>
  <w:footnote w:type="continuationSeparator" w:id="0">
    <w:p w14:paraId="49F54DF8" w14:textId="77777777" w:rsidR="00644545" w:rsidRDefault="00644545" w:rsidP="00B4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5AD69" w14:textId="77777777" w:rsidR="004C31D4" w:rsidRDefault="004C31D4">
    <w:pPr>
      <w:pStyle w:val="Header"/>
    </w:pPr>
    <w:r>
      <w:rPr>
        <w:noProof/>
      </w:rPr>
      <w:drawing>
        <wp:anchor distT="0" distB="0" distL="114300" distR="114300" simplePos="0" relativeHeight="251663360" behindDoc="1" locked="0" layoutInCell="1" allowOverlap="1" wp14:anchorId="68063DC9" wp14:editId="527D4752">
          <wp:simplePos x="0" y="0"/>
          <wp:positionH relativeFrom="margin">
            <wp:align>right</wp:align>
          </wp:positionH>
          <wp:positionV relativeFrom="paragraph">
            <wp:posOffset>-121920</wp:posOffset>
          </wp:positionV>
          <wp:extent cx="1096010" cy="330200"/>
          <wp:effectExtent l="0" t="0" r="8890" b="0"/>
          <wp:wrapTight wrapText="bothSides">
            <wp:wrapPolygon edited="0">
              <wp:start x="0" y="0"/>
              <wp:lineTo x="0" y="19938"/>
              <wp:lineTo x="21400" y="19938"/>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ve 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096010" cy="330200"/>
                  </a:xfrm>
                  <a:prstGeom prst="rect">
                    <a:avLst/>
                  </a:prstGeom>
                </pic:spPr>
              </pic:pic>
            </a:graphicData>
          </a:graphic>
          <wp14:sizeRelH relativeFrom="page">
            <wp14:pctWidth>0</wp14:pctWidth>
          </wp14:sizeRelH>
          <wp14:sizeRelV relativeFrom="page">
            <wp14:pctHeight>0</wp14:pctHeight>
          </wp14:sizeRelV>
        </wp:anchor>
      </w:drawing>
    </w:r>
    <w:sdt>
      <w:sdtPr>
        <w:id w:val="-450714576"/>
        <w:docPartObj>
          <w:docPartGallery w:val="Page Numbers (Margins)"/>
          <w:docPartUnique/>
        </w:docPartObj>
      </w:sdtPr>
      <w:sdtEndPr/>
      <w:sdtContent>
        <w:r>
          <w:rPr>
            <w:noProof/>
          </w:rPr>
          <mc:AlternateContent>
            <mc:Choice Requires="wps">
              <w:drawing>
                <wp:anchor distT="0" distB="0" distL="114300" distR="114300" simplePos="0" relativeHeight="251659264" behindDoc="0" locked="0" layoutInCell="0" allowOverlap="1" wp14:anchorId="2B2605EF" wp14:editId="6CBE5FF0">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36A47" w14:textId="77777777" w:rsidR="004C31D4" w:rsidRDefault="004C31D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950B26">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B2605EF"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5E736A47" w14:textId="77777777" w:rsidR="004C31D4" w:rsidRDefault="004C31D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950B26">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Pr="00347CB3">
      <w:rPr>
        <w:b/>
        <w:color w:val="000000" w:themeColor="text1"/>
      </w:rPr>
      <w:t xml:space="preserve"> </w:t>
    </w:r>
    <w:r>
      <w:rPr>
        <w:b/>
        <w:color w:val="000000" w:themeColor="text1"/>
      </w:rPr>
      <w:t>Preventing and treating CAUTI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3125E"/>
    <w:multiLevelType w:val="hybridMultilevel"/>
    <w:tmpl w:val="89BC9880"/>
    <w:lvl w:ilvl="0" w:tplc="85DE38A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D5B77"/>
    <w:multiLevelType w:val="multilevel"/>
    <w:tmpl w:val="4700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4465D"/>
    <w:multiLevelType w:val="hybridMultilevel"/>
    <w:tmpl w:val="8DFE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8B9"/>
    <w:multiLevelType w:val="hybridMultilevel"/>
    <w:tmpl w:val="41F4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A0"/>
    <w:rsid w:val="00001E46"/>
    <w:rsid w:val="00002A6F"/>
    <w:rsid w:val="000C6318"/>
    <w:rsid w:val="001545B1"/>
    <w:rsid w:val="001E6EEB"/>
    <w:rsid w:val="0021342D"/>
    <w:rsid w:val="002B7B99"/>
    <w:rsid w:val="002C57F2"/>
    <w:rsid w:val="002C77C2"/>
    <w:rsid w:val="00304AE3"/>
    <w:rsid w:val="00320C49"/>
    <w:rsid w:val="00347CB3"/>
    <w:rsid w:val="00365518"/>
    <w:rsid w:val="003E2256"/>
    <w:rsid w:val="003E55FA"/>
    <w:rsid w:val="003F4235"/>
    <w:rsid w:val="004001E0"/>
    <w:rsid w:val="00436B53"/>
    <w:rsid w:val="004378EC"/>
    <w:rsid w:val="00440CC0"/>
    <w:rsid w:val="004609A6"/>
    <w:rsid w:val="00475ACF"/>
    <w:rsid w:val="004C31D4"/>
    <w:rsid w:val="0054215A"/>
    <w:rsid w:val="00544A7B"/>
    <w:rsid w:val="00557C84"/>
    <w:rsid w:val="005A3988"/>
    <w:rsid w:val="005E059C"/>
    <w:rsid w:val="00644545"/>
    <w:rsid w:val="006607FD"/>
    <w:rsid w:val="006A2EC4"/>
    <w:rsid w:val="006C3913"/>
    <w:rsid w:val="006F1D09"/>
    <w:rsid w:val="00730802"/>
    <w:rsid w:val="0073487E"/>
    <w:rsid w:val="00751DE1"/>
    <w:rsid w:val="0076509F"/>
    <w:rsid w:val="007C19F8"/>
    <w:rsid w:val="00807C0A"/>
    <w:rsid w:val="00815753"/>
    <w:rsid w:val="00821686"/>
    <w:rsid w:val="00861443"/>
    <w:rsid w:val="00894161"/>
    <w:rsid w:val="008E180E"/>
    <w:rsid w:val="008F1277"/>
    <w:rsid w:val="00950B26"/>
    <w:rsid w:val="009710DF"/>
    <w:rsid w:val="00972E70"/>
    <w:rsid w:val="00984418"/>
    <w:rsid w:val="009A18BD"/>
    <w:rsid w:val="00A134A4"/>
    <w:rsid w:val="00A33D96"/>
    <w:rsid w:val="00A45FBA"/>
    <w:rsid w:val="00A76588"/>
    <w:rsid w:val="00B23CF4"/>
    <w:rsid w:val="00B314A5"/>
    <w:rsid w:val="00B40FA0"/>
    <w:rsid w:val="00B41EE4"/>
    <w:rsid w:val="00B7206C"/>
    <w:rsid w:val="00B80525"/>
    <w:rsid w:val="00B915F4"/>
    <w:rsid w:val="00C14ADC"/>
    <w:rsid w:val="00C33929"/>
    <w:rsid w:val="00C83FFD"/>
    <w:rsid w:val="00C969F7"/>
    <w:rsid w:val="00D14636"/>
    <w:rsid w:val="00DD071F"/>
    <w:rsid w:val="00DE5E67"/>
    <w:rsid w:val="00E87794"/>
    <w:rsid w:val="00E96BC1"/>
    <w:rsid w:val="00F0691E"/>
    <w:rsid w:val="00F14BC4"/>
    <w:rsid w:val="00F31679"/>
    <w:rsid w:val="00F60327"/>
    <w:rsid w:val="00F63213"/>
    <w:rsid w:val="00FC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49602"/>
  <w15:chartTrackingRefBased/>
  <w15:docId w15:val="{34E72D5C-C4BE-4C50-9FB0-A1C9BBA4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D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33D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FA0"/>
    <w:pPr>
      <w:ind w:left="720"/>
      <w:contextualSpacing/>
    </w:pPr>
  </w:style>
  <w:style w:type="paragraph" w:styleId="Header">
    <w:name w:val="header"/>
    <w:basedOn w:val="Normal"/>
    <w:link w:val="HeaderChar"/>
    <w:uiPriority w:val="99"/>
    <w:unhideWhenUsed/>
    <w:rsid w:val="00B4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A0"/>
  </w:style>
  <w:style w:type="paragraph" w:styleId="Footer">
    <w:name w:val="footer"/>
    <w:basedOn w:val="Normal"/>
    <w:link w:val="FooterChar"/>
    <w:uiPriority w:val="99"/>
    <w:unhideWhenUsed/>
    <w:rsid w:val="00B4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A0"/>
  </w:style>
  <w:style w:type="paragraph" w:styleId="NormalWeb">
    <w:name w:val="Normal (Web)"/>
    <w:basedOn w:val="Normal"/>
    <w:uiPriority w:val="99"/>
    <w:unhideWhenUsed/>
    <w:rsid w:val="004609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09A6"/>
    <w:rPr>
      <w:b/>
      <w:bCs/>
    </w:rPr>
  </w:style>
  <w:style w:type="character" w:styleId="Emphasis">
    <w:name w:val="Emphasis"/>
    <w:basedOn w:val="DefaultParagraphFont"/>
    <w:uiPriority w:val="20"/>
    <w:qFormat/>
    <w:rsid w:val="004609A6"/>
    <w:rPr>
      <w:i/>
      <w:iCs/>
    </w:rPr>
  </w:style>
  <w:style w:type="character" w:styleId="Hyperlink">
    <w:name w:val="Hyperlink"/>
    <w:basedOn w:val="DefaultParagraphFont"/>
    <w:uiPriority w:val="99"/>
    <w:unhideWhenUsed/>
    <w:rsid w:val="00821686"/>
    <w:rPr>
      <w:color w:val="0563C1" w:themeColor="hyperlink"/>
      <w:u w:val="single"/>
    </w:rPr>
  </w:style>
  <w:style w:type="character" w:styleId="UnresolvedMention">
    <w:name w:val="Unresolved Mention"/>
    <w:basedOn w:val="DefaultParagraphFont"/>
    <w:uiPriority w:val="99"/>
    <w:semiHidden/>
    <w:unhideWhenUsed/>
    <w:rsid w:val="00821686"/>
    <w:rPr>
      <w:color w:val="605E5C"/>
      <w:shd w:val="clear" w:color="auto" w:fill="E1DFDD"/>
    </w:rPr>
  </w:style>
  <w:style w:type="character" w:styleId="FollowedHyperlink">
    <w:name w:val="FollowedHyperlink"/>
    <w:basedOn w:val="DefaultParagraphFont"/>
    <w:uiPriority w:val="99"/>
    <w:semiHidden/>
    <w:unhideWhenUsed/>
    <w:rsid w:val="00C969F7"/>
    <w:rPr>
      <w:color w:val="954F72" w:themeColor="followedHyperlink"/>
      <w:u w:val="single"/>
    </w:rPr>
  </w:style>
  <w:style w:type="character" w:styleId="CommentReference">
    <w:name w:val="annotation reference"/>
    <w:basedOn w:val="DefaultParagraphFont"/>
    <w:uiPriority w:val="99"/>
    <w:semiHidden/>
    <w:unhideWhenUsed/>
    <w:rsid w:val="006607FD"/>
    <w:rPr>
      <w:sz w:val="16"/>
      <w:szCs w:val="16"/>
    </w:rPr>
  </w:style>
  <w:style w:type="paragraph" w:styleId="CommentText">
    <w:name w:val="annotation text"/>
    <w:basedOn w:val="Normal"/>
    <w:link w:val="CommentTextChar"/>
    <w:uiPriority w:val="99"/>
    <w:semiHidden/>
    <w:unhideWhenUsed/>
    <w:rsid w:val="006607FD"/>
    <w:pPr>
      <w:spacing w:line="240" w:lineRule="auto"/>
    </w:pPr>
    <w:rPr>
      <w:sz w:val="20"/>
      <w:szCs w:val="20"/>
    </w:rPr>
  </w:style>
  <w:style w:type="character" w:customStyle="1" w:styleId="CommentTextChar">
    <w:name w:val="Comment Text Char"/>
    <w:basedOn w:val="DefaultParagraphFont"/>
    <w:link w:val="CommentText"/>
    <w:uiPriority w:val="99"/>
    <w:semiHidden/>
    <w:rsid w:val="006607FD"/>
    <w:rPr>
      <w:sz w:val="20"/>
      <w:szCs w:val="20"/>
    </w:rPr>
  </w:style>
  <w:style w:type="paragraph" w:styleId="CommentSubject">
    <w:name w:val="annotation subject"/>
    <w:basedOn w:val="CommentText"/>
    <w:next w:val="CommentText"/>
    <w:link w:val="CommentSubjectChar"/>
    <w:uiPriority w:val="99"/>
    <w:semiHidden/>
    <w:unhideWhenUsed/>
    <w:rsid w:val="006607FD"/>
    <w:rPr>
      <w:b/>
      <w:bCs/>
    </w:rPr>
  </w:style>
  <w:style w:type="character" w:customStyle="1" w:styleId="CommentSubjectChar">
    <w:name w:val="Comment Subject Char"/>
    <w:basedOn w:val="CommentTextChar"/>
    <w:link w:val="CommentSubject"/>
    <w:uiPriority w:val="99"/>
    <w:semiHidden/>
    <w:rsid w:val="006607FD"/>
    <w:rPr>
      <w:b/>
      <w:bCs/>
      <w:sz w:val="20"/>
      <w:szCs w:val="20"/>
    </w:rPr>
  </w:style>
  <w:style w:type="paragraph" w:styleId="BalloonText">
    <w:name w:val="Balloon Text"/>
    <w:basedOn w:val="Normal"/>
    <w:link w:val="BalloonTextChar"/>
    <w:uiPriority w:val="99"/>
    <w:semiHidden/>
    <w:unhideWhenUsed/>
    <w:rsid w:val="00660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FD"/>
    <w:rPr>
      <w:rFonts w:ascii="Segoe UI" w:hAnsi="Segoe UI" w:cs="Segoe UI"/>
      <w:sz w:val="18"/>
      <w:szCs w:val="18"/>
    </w:rPr>
  </w:style>
  <w:style w:type="character" w:customStyle="1" w:styleId="Heading3Char">
    <w:name w:val="Heading 3 Char"/>
    <w:basedOn w:val="DefaultParagraphFont"/>
    <w:link w:val="Heading3"/>
    <w:uiPriority w:val="9"/>
    <w:rsid w:val="00A33D96"/>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A33D9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53009">
      <w:bodyDiv w:val="1"/>
      <w:marLeft w:val="0"/>
      <w:marRight w:val="0"/>
      <w:marTop w:val="0"/>
      <w:marBottom w:val="0"/>
      <w:divBdr>
        <w:top w:val="none" w:sz="0" w:space="0" w:color="auto"/>
        <w:left w:val="none" w:sz="0" w:space="0" w:color="auto"/>
        <w:bottom w:val="none" w:sz="0" w:space="0" w:color="auto"/>
        <w:right w:val="none" w:sz="0" w:space="0" w:color="auto"/>
      </w:divBdr>
    </w:div>
    <w:div w:id="587664160">
      <w:bodyDiv w:val="1"/>
      <w:marLeft w:val="0"/>
      <w:marRight w:val="0"/>
      <w:marTop w:val="0"/>
      <w:marBottom w:val="0"/>
      <w:divBdr>
        <w:top w:val="none" w:sz="0" w:space="0" w:color="auto"/>
        <w:left w:val="none" w:sz="0" w:space="0" w:color="auto"/>
        <w:bottom w:val="none" w:sz="0" w:space="0" w:color="auto"/>
        <w:right w:val="none" w:sz="0" w:space="0" w:color="auto"/>
      </w:divBdr>
    </w:div>
    <w:div w:id="1176529351">
      <w:bodyDiv w:val="1"/>
      <w:marLeft w:val="0"/>
      <w:marRight w:val="0"/>
      <w:marTop w:val="0"/>
      <w:marBottom w:val="0"/>
      <w:divBdr>
        <w:top w:val="none" w:sz="0" w:space="0" w:color="auto"/>
        <w:left w:val="none" w:sz="0" w:space="0" w:color="auto"/>
        <w:bottom w:val="none" w:sz="0" w:space="0" w:color="auto"/>
        <w:right w:val="none" w:sz="0" w:space="0" w:color="auto"/>
      </w:divBdr>
    </w:div>
    <w:div w:id="1907295234">
      <w:bodyDiv w:val="1"/>
      <w:marLeft w:val="0"/>
      <w:marRight w:val="0"/>
      <w:marTop w:val="0"/>
      <w:marBottom w:val="0"/>
      <w:divBdr>
        <w:top w:val="none" w:sz="0" w:space="0" w:color="auto"/>
        <w:left w:val="none" w:sz="0" w:space="0" w:color="auto"/>
        <w:bottom w:val="none" w:sz="0" w:space="0" w:color="auto"/>
        <w:right w:val="none" w:sz="0" w:space="0" w:color="auto"/>
      </w:divBdr>
    </w:div>
    <w:div w:id="1924218983">
      <w:bodyDiv w:val="1"/>
      <w:marLeft w:val="0"/>
      <w:marRight w:val="0"/>
      <w:marTop w:val="0"/>
      <w:marBottom w:val="0"/>
      <w:divBdr>
        <w:top w:val="none" w:sz="0" w:space="0" w:color="auto"/>
        <w:left w:val="none" w:sz="0" w:space="0" w:color="auto"/>
        <w:bottom w:val="none" w:sz="0" w:space="0" w:color="auto"/>
        <w:right w:val="none" w:sz="0" w:space="0" w:color="auto"/>
      </w:divBdr>
    </w:div>
    <w:div w:id="20308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infectioncontrol/pdf/guidelines/cauti-guidelines-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173/ceju.2014.01.art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intcommission.org/-/media/deprecated-unorganized/imported-assets/tjc/system-folders/joint-commission-online/r3_cauti_happdf.pdf?db=web&amp;hash=14DAAC2A1515E7865E3D4BCA8991EA8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Stricker, Linda</dc:creator>
  <cp:keywords/>
  <dc:description/>
  <cp:lastModifiedBy>ana</cp:lastModifiedBy>
  <cp:revision>2</cp:revision>
  <dcterms:created xsi:type="dcterms:W3CDTF">2020-09-13T04:13:00Z</dcterms:created>
  <dcterms:modified xsi:type="dcterms:W3CDTF">2020-09-13T04:13:00Z</dcterms:modified>
</cp:coreProperties>
</file>