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b w:val="1"/>
          <w:color w:val="ff0000"/>
        </w:rPr>
      </w:pPr>
      <w:bookmarkStart w:colFirst="0" w:colLast="0" w:name="_gjdgxs" w:id="0"/>
      <w:bookmarkEnd w:id="0"/>
      <w:r w:rsidDel="00000000" w:rsidR="00000000" w:rsidRPr="00000000">
        <w:rPr>
          <w:b w:val="1"/>
          <w:color w:val="000000"/>
          <w:rtl w:val="0"/>
        </w:rPr>
        <w:t xml:space="preserve">Using academic writing standards and APA formatting of references, respond to each of the following learning objectives. Using this document, enter the responses next to the corresponding learning objective. Responses should be 150-350 words in length. Scroll down to see assignment rubric for specific details on how the project will be assessed and how the will be points awarded. Save the completed document as the assignment title and submit to the dropbox.</w:t>
      </w:r>
      <w:r w:rsidDel="00000000" w:rsidR="00000000" w:rsidRPr="00000000">
        <w:rPr>
          <w:rtl w:val="0"/>
        </w:rPr>
      </w:r>
    </w:p>
    <w:tbl>
      <w:tblPr>
        <w:tblStyle w:val="Table1"/>
        <w:tblW w:w="13140.0" w:type="dxa"/>
        <w:jc w:val="left"/>
        <w:tblInd w:w="-9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140"/>
        <w:gridCol w:w="9000"/>
        <w:tblGridChange w:id="0">
          <w:tblGrid>
            <w:gridCol w:w="4140"/>
            <w:gridCol w:w="9000"/>
          </w:tblGrid>
        </w:tblGridChange>
      </w:tblGrid>
      <w:tr>
        <w:tc>
          <w:tcPr>
            <w:shd w:fill="ffd965" w:val="clear"/>
          </w:tcPr>
          <w:p w:rsidR="00000000" w:rsidDel="00000000" w:rsidP="00000000" w:rsidRDefault="00000000" w:rsidRPr="00000000" w14:paraId="00000002">
            <w:pPr>
              <w:rPr>
                <w:b w:val="1"/>
              </w:rPr>
            </w:pPr>
            <w:r w:rsidDel="00000000" w:rsidR="00000000" w:rsidRPr="00000000">
              <w:rPr>
                <w:b w:val="1"/>
                <w:rtl w:val="0"/>
              </w:rPr>
              <w:t xml:space="preserve">Learning Objective</w:t>
            </w:r>
          </w:p>
        </w:tc>
        <w:tc>
          <w:tcPr>
            <w:shd w:fill="ffd965" w:val="clear"/>
          </w:tcPr>
          <w:p w:rsidR="00000000" w:rsidDel="00000000" w:rsidP="00000000" w:rsidRDefault="00000000" w:rsidRPr="00000000" w14:paraId="00000003">
            <w:pPr>
              <w:rPr>
                <w:b w:val="1"/>
              </w:rPr>
            </w:pPr>
            <w:r w:rsidDel="00000000" w:rsidR="00000000" w:rsidRPr="00000000">
              <w:rPr>
                <w:b w:val="1"/>
                <w:rtl w:val="0"/>
              </w:rPr>
              <w:t xml:space="preserve">Response</w:t>
            </w:r>
          </w:p>
        </w:tc>
      </w:tr>
      <w:tr>
        <w:tc>
          <w:tcPr/>
          <w:p w:rsidR="00000000" w:rsidDel="00000000" w:rsidP="00000000" w:rsidRDefault="00000000" w:rsidRPr="00000000" w14:paraId="00000004">
            <w:pPr>
              <w:rPr/>
            </w:pPr>
            <w:r w:rsidDel="00000000" w:rsidR="00000000" w:rsidRPr="00000000">
              <w:rPr>
                <w:rtl w:val="0"/>
              </w:rPr>
              <w:t xml:space="preserve">1. Describe the incidence and prevalence of catheter associated urinary tract infection (CAUTI).</w:t>
            </w:r>
          </w:p>
        </w:tc>
        <w:tc>
          <w:tcPr/>
          <w:p w:rsidR="00000000" w:rsidDel="00000000" w:rsidP="00000000" w:rsidRDefault="00000000" w:rsidRPr="00000000" w14:paraId="00000005">
            <w:pPr>
              <w:rPr/>
            </w:pPr>
            <w:r w:rsidDel="00000000" w:rsidR="00000000" w:rsidRPr="00000000">
              <w:rPr>
                <w:rtl w:val="0"/>
              </w:rPr>
              <w:t xml:space="preserve">The prevalence of catheter associated urinary tract infections is a variable statistic, and one that can vary from institution to institution, however it remains one of the most common hospital associated infections (National Healthcare Safety Network, n.d.). Estimates of close to 450,000 CAUTIs per year in the United States indicate that it is still an active problem in healthcare today (NHSN, n.d). In 2009, the CDC released new guidelines for the indications of use of catheters, and there have been federal mandates on nursing home use of catheters, which could be a reason for the decreasing use of catheters in those settings. On the inpatient level, the incidence of CAUTI has been cited as anywhere from 3.1 to 7.5 infections  per 1000 catheter days (Centers for Disease Control and Prevention, 2009). Specific institutional policies can dictate and have direct impacts on  the incidence of CAUTI for that specific location. As the CDC has instigated guidance on the use of catheters, and has found that about 17-69% of CAUTIs are preventable, institutions need to keep track of their numbers of infections on their units. This tracking can be very helpful to identify gaps in care, and opportunities for quality improvement projects to reduce risk and incidence of CAUTI. </w:t>
            </w:r>
          </w:p>
          <w:p w:rsidR="00000000" w:rsidDel="00000000" w:rsidP="00000000" w:rsidRDefault="00000000" w:rsidRPr="00000000" w14:paraId="00000006">
            <w:pPr>
              <w:rPr/>
            </w:pPr>
            <w:r w:rsidDel="00000000" w:rsidR="00000000" w:rsidRPr="00000000">
              <w:rPr>
                <w:rtl w:val="0"/>
              </w:rPr>
            </w:r>
          </w:p>
        </w:tc>
      </w:tr>
      <w:tr>
        <w:tc>
          <w:tcPr/>
          <w:p w:rsidR="00000000" w:rsidDel="00000000" w:rsidP="00000000" w:rsidRDefault="00000000" w:rsidRPr="00000000" w14:paraId="00000007">
            <w:pPr>
              <w:rPr/>
            </w:pPr>
            <w:r w:rsidDel="00000000" w:rsidR="00000000" w:rsidRPr="00000000">
              <w:rPr>
                <w:rtl w:val="0"/>
              </w:rPr>
              <w:t xml:space="preserve">2. List factors associated with the development of CAUTI.</w:t>
            </w:r>
          </w:p>
        </w:tc>
        <w:tc>
          <w:tcPr/>
          <w:p w:rsidR="00000000" w:rsidDel="00000000" w:rsidP="00000000" w:rsidRDefault="00000000" w:rsidRPr="00000000" w14:paraId="00000008">
            <w:pPr>
              <w:rPr/>
            </w:pPr>
            <w:r w:rsidDel="00000000" w:rsidR="00000000" w:rsidRPr="00000000">
              <w:rPr>
                <w:rtl w:val="0"/>
              </w:rPr>
              <w:t xml:space="preserve">There are multiple risk factors associated with the development of a CAUTI. One of the main risk factors is the prolonged use of an indwelling urinary catheter. It is known that the longer an indwelling catheter is in place for, the relative risk of a CAUTI increases (Letica-Kriegel, et al., 2019). Given that biofilm starts to develop on the catheter surface as early as 24 hours after insertion (Moore &amp; Franklin, 2016), it is important to reassess frequently as to whether  the catheter is still needed. Aside from just the length of time a catheter is in place for, other risk factors for a CAUTI include poor catheter care and insertion, fecal incontinence, and the presence of other active systemic infection (Letica-Kriegel, et al., 2019). Daily cleansing of the perineal area, and more frequently for fecal incontinent patients is needed to prevent contamination. If stool is not removed from the area, it is likely the bacteria from stool can attach to the catheter and increase the bio-burden on the catheter and into the bladder. If an indwelling catheter is required, the care of the tubing and drainage bag can contribute to the development of a CAUTI (Moore &amp; Franklin, 2016). Especially in an acute care setting, where the indwelling catheter would likely be short term, it is important to maintain a closed system between the tubing and drainage bag to minimize the risk of infection occurring from an opening. Handwashing before draining the bag, or manipulating the tubing or bag should be also performed to reduce the risk of developing an infection. </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tc>
      </w:tr>
      <w:tr>
        <w:tc>
          <w:tcPr/>
          <w:p w:rsidR="00000000" w:rsidDel="00000000" w:rsidP="00000000" w:rsidRDefault="00000000" w:rsidRPr="00000000" w14:paraId="0000000C">
            <w:pPr>
              <w:rPr/>
            </w:pPr>
            <w:r w:rsidDel="00000000" w:rsidR="00000000" w:rsidRPr="00000000">
              <w:rPr>
                <w:rtl w:val="0"/>
              </w:rPr>
              <w:t xml:space="preserve">3. Discuss nursing evidence-based interventions for CAUTI prevention and management. </w:t>
            </w:r>
          </w:p>
        </w:tc>
        <w:tc>
          <w:tcPr/>
          <w:p w:rsidR="00000000" w:rsidDel="00000000" w:rsidP="00000000" w:rsidRDefault="00000000" w:rsidRPr="00000000" w14:paraId="0000000D">
            <w:pPr>
              <w:rPr/>
            </w:pPr>
            <w:r w:rsidDel="00000000" w:rsidR="00000000" w:rsidRPr="00000000">
              <w:rPr>
                <w:rtl w:val="0"/>
              </w:rPr>
              <w:t xml:space="preserve">Nurses have an important role to play in patient care to reduce risks of patients developing CAUTIs. The American Nurses Association (ANA) has developed a tool that assists nurses in directing their catheter care, and physicians on when it is appropriate for a patient to have a catheter. Three of the main criteria that can guide nursing care are the interventions of using fewer catheters, removing them in a timely manner, and inserting and maintaining the care of an indwelling catheter (ANA, n.d.). The matter of using less catheters involves both nurses and physicians, but both should be educated on the indications for catheter use. Per CDC guidelines, a catheter can be used if there is acute urinary retention, comfort needed for end of life, hourly monitoring needed for critically ill patients, severe immobility related to injury or surgery, or for use in healing large  open sacral wounds (ANA, n.d.). These parameters should be assessed by both the nurse and the physician daily.  If the patient’s condition changes, the catheter should be assessed for possible removal. To prevent unnecessary insertion of indwelling catheters, an intervention a nurse can perform is to assess bladder emptying. If there are concerns for urinary retention as evidenced by post-void residual assessments, the nurse should assess whether straight catheterization is appropriate to manage urinary retention and reduce injury to the upper urinary tract (ANA, n.d.). </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Though dependent on specific facilities, a nurse-driven algorithm can assist with the management of urinary retention, as well as parameters for when a catheter can be taken out. Sterile insertion of the urinary catheter is important to reduce risk of contamination during the insertion procedure. The ANA recommends that the smallest possible catheter be used, and that 2 nurses  (or a mechanical aid) complete the insertion procedure together, to ensure sterility (n.d.).</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After insertion of the catheter, the nursing staff should maintain the catheter correctly to mitigate risk of CAUTI. There is some evidence that properly securing  the catheter to the patient’s thigh can reduce movement of bacteria up the catheter into  the periurethral area (Moore &amp; Franklin, 2016). The drainage bag needs to be positioned below the level of the patient’s bladder to promote urine drainage and prevent the backflow of urine. Tubing should be kept straight and without kinks or twists. </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tc>
      </w:tr>
      <w:tr>
        <w:tc>
          <w:tcPr/>
          <w:p w:rsidR="00000000" w:rsidDel="00000000" w:rsidP="00000000" w:rsidRDefault="00000000" w:rsidRPr="00000000" w14:paraId="00000014">
            <w:pPr>
              <w:rPr/>
            </w:pPr>
            <w:r w:rsidDel="00000000" w:rsidR="00000000" w:rsidRPr="00000000">
              <w:rPr>
                <w:rtl w:val="0"/>
              </w:rPr>
              <w:t xml:space="preserve">4. Identify selection criteria for appropriate indwelling catheter size. </w:t>
            </w:r>
          </w:p>
        </w:tc>
        <w:tc>
          <w:tcPr/>
          <w:p w:rsidR="00000000" w:rsidDel="00000000" w:rsidP="00000000" w:rsidRDefault="00000000" w:rsidRPr="00000000" w14:paraId="00000015">
            <w:pPr>
              <w:rPr/>
            </w:pPr>
            <w:r w:rsidDel="00000000" w:rsidR="00000000" w:rsidRPr="00000000">
              <w:rPr>
                <w:rtl w:val="0"/>
              </w:rPr>
              <w:t xml:space="preserve">The catheter size should be selected based on a variety of factors. Age is a factor, where younger age typically dictates a smaller sized catheter to accommodate for smaller anatomy (Moore &amp; Franklin, 2016). In the adult patient, male patients can typically have a larger size catheter (12-16 Fr) whereas it is recommended to use a smaller size with a female patient (12-14 Fr). Specific medical conditions can also dictate what size catheter to use. For adults who have hematuria or clots, a larger than normal catheter may be indicated (18 Fr) (Moore &amp; Franklin, 2016), while those with urinary obstruction may need an even larger size to allow urine to pass through. Male patients who have prostatic bleeding may need a catheter size almost twice the size that is typically indicated for otherwise healthy males (Moore &amp; Franklin, 2016). In determining the proper size for the width of the catheter, length should also be taken into consideration. An adult male patient may require a longer catheter compared with an adult female, based on anatomical differences. The opposite is true for pediatric patients, who can require shorter catheters than adults. For some patients, it is uncomfortable for a larger catheter to be inserted, and so a smaller catheter, that still allows for sufficient urine to pass, should be selected if possible. A catheter that is not appropriate in size could lead to urethral trauma, erosion, or tearing (Moore &amp; Franklin, 2016). </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tc>
      </w:tr>
      <w:tr>
        <w:tc>
          <w:tcPr/>
          <w:p w:rsidR="00000000" w:rsidDel="00000000" w:rsidP="00000000" w:rsidRDefault="00000000" w:rsidRPr="00000000" w14:paraId="00000019">
            <w:pPr>
              <w:rPr/>
            </w:pPr>
            <w:r w:rsidDel="00000000" w:rsidR="00000000" w:rsidRPr="00000000">
              <w:rPr>
                <w:rtl w:val="0"/>
              </w:rPr>
              <w:t xml:space="preserve">5. Differentiate between a urinary tract infection and colonization.</w:t>
            </w:r>
          </w:p>
        </w:tc>
        <w:tc>
          <w:tcPr/>
          <w:p w:rsidR="00000000" w:rsidDel="00000000" w:rsidP="00000000" w:rsidRDefault="00000000" w:rsidRPr="00000000" w14:paraId="0000001A">
            <w:pPr>
              <w:rPr/>
            </w:pPr>
            <w:r w:rsidDel="00000000" w:rsidR="00000000" w:rsidRPr="00000000">
              <w:rPr>
                <w:rtl w:val="0"/>
              </w:rPr>
              <w:t xml:space="preserve">Bacterial colonization in the urine differs from a urinary tract infection (UTI) by the absence of UTI symptoms. Colonization can be defined as a bacterial count of a single microorganism  greater than 100,000/ml. When a person is on an intermittent catheterization schedule or needs to use indwelling catheters for a long period of time, their urine will most likely have bacteria and be colonized (Gillette Children’s Specialty Healthcare, n.d.). A person with colonized urine may have urine that is cloudy, or a darker color (Gillette Children’s Specialty Healthcare, n.d.).  Even though a person’s urine has bacteria may not mean they have a UTI. A UTI is defined as the presence of bacteria in the urine with associated UTI symptoms such as fever, chills, painful urination, or urine that is odorous. (Gillette Children’s Specialty Healthcare, n.d.). A UTI can be diagnosed using a urinalysis and urine culture, which will allow the provider to know what type of antibiotics are needed to treat the UTI. It is important to realize the differences between colonization and at UTI to avoid overuse of antibiotics (Gillette Children’s Specialty Healthcare, n.d.). Especially in patients with chronic catheter use, prescribing antibiotics for just the presence of bacteria in a urine sample may not always be the correct treatment. Overuse of antibiotics could lead to the development of antibiotic resistant bacteria. In the patient who uses catheters, it is important to assess other symptoms, and the catheter itself to see if there are indications of a UTI. </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tc>
      </w:tr>
      <w:tr>
        <w:tc>
          <w:tcPr>
            <w:shd w:fill="bf8f00" w:val="clear"/>
          </w:tcPr>
          <w:p w:rsidR="00000000" w:rsidDel="00000000" w:rsidP="00000000" w:rsidRDefault="00000000" w:rsidRPr="00000000" w14:paraId="0000001E">
            <w:pPr>
              <w:rPr/>
            </w:pPr>
            <w:r w:rsidDel="00000000" w:rsidR="00000000" w:rsidRPr="00000000">
              <w:rPr>
                <w:rtl w:val="0"/>
              </w:rPr>
            </w:r>
          </w:p>
        </w:tc>
        <w:tc>
          <w:tcPr>
            <w:shd w:fill="bf8f00" w:val="clear"/>
          </w:tcPr>
          <w:p w:rsidR="00000000" w:rsidDel="00000000" w:rsidP="00000000" w:rsidRDefault="00000000" w:rsidRPr="00000000" w14:paraId="0000001F">
            <w:pPr>
              <w:rPr/>
            </w:pPr>
            <w:r w:rsidDel="00000000" w:rsidR="00000000" w:rsidRPr="00000000">
              <w:rPr>
                <w:rtl w:val="0"/>
              </w:rPr>
            </w:r>
          </w:p>
        </w:tc>
      </w:tr>
      <w:tr>
        <w:tc>
          <w:tcPr/>
          <w:p w:rsidR="00000000" w:rsidDel="00000000" w:rsidP="00000000" w:rsidRDefault="00000000" w:rsidRPr="00000000" w14:paraId="00000020">
            <w:pPr>
              <w:rPr/>
            </w:pPr>
            <w:r w:rsidDel="00000000" w:rsidR="00000000" w:rsidRPr="00000000">
              <w:rPr>
                <w:rtl w:val="0"/>
              </w:rPr>
              <w:t xml:space="preserve">List at least three current references that support your responses (textbook required as one of the references), and include the citations in the body of the written responses. </w:t>
            </w:r>
          </w:p>
        </w:tc>
        <w:tc>
          <w:tcPr/>
          <w:p w:rsidR="00000000" w:rsidDel="00000000" w:rsidP="00000000" w:rsidRDefault="00000000" w:rsidRPr="00000000" w14:paraId="00000021">
            <w:pPr>
              <w:rPr/>
            </w:pPr>
            <w:r w:rsidDel="00000000" w:rsidR="00000000" w:rsidRPr="00000000">
              <w:rPr>
                <w:rtl w:val="0"/>
              </w:rPr>
              <w:t xml:space="preserve">American Nurses Association. (n.d). </w:t>
            </w:r>
            <w:r w:rsidDel="00000000" w:rsidR="00000000" w:rsidRPr="00000000">
              <w:rPr>
                <w:i w:val="1"/>
                <w:rtl w:val="0"/>
              </w:rPr>
              <w:t xml:space="preserve">Streamlined evidenced based RN tool:Catheter associated urinary tract infection (CAUTI) prevention</w:t>
            </w:r>
            <w:r w:rsidDel="00000000" w:rsidR="00000000" w:rsidRPr="00000000">
              <w:rPr>
                <w:rtl w:val="0"/>
              </w:rPr>
              <w:t xml:space="preserve"> [PDF]. American Nurses Association. </w:t>
            </w:r>
            <w:r w:rsidDel="00000000" w:rsidR="00000000" w:rsidRPr="00000000">
              <w:rPr>
                <w:rtl w:val="0"/>
              </w:rPr>
              <w:t xml:space="preserve">https://www.nursingworld.org/~4aede8/globalassets/practiceandpolicy/innovation--evidence/clinical-practice-material/cauti-prevention-tool/anacautipreventiontool-final-19dec2014.pdf</w:t>
            </w:r>
            <w:r w:rsidDel="00000000" w:rsidR="00000000" w:rsidRPr="00000000">
              <w:rPr>
                <w:rtl w:val="0"/>
              </w:rPr>
              <w:t xml:space="preserve">. </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Centers for Disease Control and Prevention. (2009). </w:t>
            </w:r>
            <w:r w:rsidDel="00000000" w:rsidR="00000000" w:rsidRPr="00000000">
              <w:rPr>
                <w:i w:val="1"/>
                <w:rtl w:val="0"/>
              </w:rPr>
              <w:t xml:space="preserve">Background: Guideline for prevention of catheter associated urinary tract infections. </w:t>
            </w:r>
            <w:r w:rsidDel="00000000" w:rsidR="00000000" w:rsidRPr="00000000">
              <w:rPr>
                <w:rtl w:val="0"/>
              </w:rPr>
              <w:t xml:space="preserve"> Centers for Disease Control and Prevention. </w:t>
            </w:r>
            <w:r w:rsidDel="00000000" w:rsidR="00000000" w:rsidRPr="00000000">
              <w:rPr>
                <w:rtl w:val="0"/>
              </w:rPr>
              <w:t xml:space="preserve">https://www.cdc.gov/infectioncontrol/guidelines/cauti/background.html</w:t>
            </w:r>
            <w:r w:rsidDel="00000000" w:rsidR="00000000" w:rsidRPr="00000000">
              <w:rPr>
                <w:rtl w:val="0"/>
              </w:rPr>
              <w:t xml:space="preserve">. </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Gillette Children’s Specialty Healthcare. (n.d.). </w:t>
            </w:r>
            <w:r w:rsidDel="00000000" w:rsidR="00000000" w:rsidRPr="00000000">
              <w:rPr>
                <w:i w:val="1"/>
                <w:rtl w:val="0"/>
              </w:rPr>
              <w:t xml:space="preserve">Bacterial colonization in urine and symptomatic urinary tract infection (UTI) </w:t>
            </w:r>
            <w:r w:rsidDel="00000000" w:rsidR="00000000" w:rsidRPr="00000000">
              <w:rPr>
                <w:rtl w:val="0"/>
              </w:rPr>
              <w:t xml:space="preserve">[PDF]. Gillette Children’s Specialty Healthcare. </w:t>
            </w:r>
            <w:r w:rsidDel="00000000" w:rsidR="00000000" w:rsidRPr="00000000">
              <w:rPr>
                <w:rtl w:val="0"/>
              </w:rPr>
              <w:t xml:space="preserve">https://www.gillettechildrens.org/?ACT=57&amp;path=pdf-output%2Fbacterial-colonization-in-urine-and-symptomatic-urinary-tract-infection-uti&amp;size=letter&amp;orientation=portrait&amp;key=print-pdf&amp;attachment=0&amp;compress=1&amp;filename=2118.pdf</w:t>
            </w:r>
            <w:r w:rsidDel="00000000" w:rsidR="00000000" w:rsidRPr="00000000">
              <w:rPr>
                <w:rtl w:val="0"/>
              </w:rPr>
              <w:t xml:space="preserve">. </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Letica-Kriegel, A.S., Salmasian, H., Vawdrew, D.K., Youngerman, B.E., Green, R.A., Furuya, E.Y., Calfee, D.P., Perotte, R. (2019).  Identifying the risk factors for catheter-associated urinary tract infections: a large cross-sectional study of six hospitals. </w:t>
            </w:r>
            <w:r w:rsidDel="00000000" w:rsidR="00000000" w:rsidRPr="00000000">
              <w:rPr>
                <w:i w:val="1"/>
                <w:rtl w:val="0"/>
              </w:rPr>
              <w:t xml:space="preserve">BMJ Open, 9, </w:t>
            </w:r>
            <w:r w:rsidDel="00000000" w:rsidR="00000000" w:rsidRPr="00000000">
              <w:rPr>
                <w:i w:val="0"/>
                <w:rtl w:val="0"/>
              </w:rPr>
              <w:t xml:space="preserve">(2). doi: 10.1136/bmjopen-2018-022137. </w:t>
            </w: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t xml:space="preserve">Moore, K.N., Franklin, L. (2016). Indwelling and intermittent catheterization. In D.B. Doughty, K.N. Moore (Eds.), </w:t>
            </w:r>
            <w:r w:rsidDel="00000000" w:rsidR="00000000" w:rsidRPr="00000000">
              <w:rPr>
                <w:i w:val="1"/>
                <w:rtl w:val="0"/>
              </w:rPr>
              <w:t xml:space="preserve">Wound, Ostomy and Continence Nurses SocietyTM  Core Curriculum Continence Management </w:t>
            </w:r>
            <w:r w:rsidDel="00000000" w:rsidR="00000000" w:rsidRPr="00000000">
              <w:rPr>
                <w:rtl w:val="0"/>
              </w:rPr>
              <w:t xml:space="preserve">(pp. 232-249). Philadelphia, PA : Wolters Kluwer. </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t xml:space="preserve">National Healthcare Safety Network. (n.d.) </w:t>
            </w:r>
            <w:r w:rsidDel="00000000" w:rsidR="00000000" w:rsidRPr="00000000">
              <w:rPr>
                <w:i w:val="1"/>
                <w:rtl w:val="0"/>
              </w:rPr>
              <w:t xml:space="preserve">National healthcare safety network (NHSN) catheter associated urinary tract infection (CAUTI) outcome measure </w:t>
            </w:r>
            <w:r w:rsidDel="00000000" w:rsidR="00000000" w:rsidRPr="00000000">
              <w:rPr>
                <w:rtl w:val="0"/>
              </w:rPr>
              <w:t xml:space="preserve">[PDF]. Hospital Safety Grade. </w:t>
            </w:r>
            <w:r w:rsidDel="00000000" w:rsidR="00000000" w:rsidRPr="00000000">
              <w:rPr>
                <w:rtl w:val="0"/>
              </w:rPr>
              <w:t xml:space="preserve">https://www.hospitalsafetygrade.org/media/file/CAUTI.pdf</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tc>
      </w:tr>
    </w:tbl>
    <w:p w:rsidR="00000000" w:rsidDel="00000000" w:rsidP="00000000" w:rsidRDefault="00000000" w:rsidRPr="00000000" w14:paraId="00000030">
      <w:pPr>
        <w:rPr>
          <w:rFonts w:ascii="Calibri" w:cs="Calibri" w:eastAsia="Calibri" w:hAnsi="Calibri"/>
          <w:b w:val="1"/>
          <w:color w:val="ff0000"/>
          <w:sz w:val="20"/>
          <w:szCs w:val="20"/>
        </w:rPr>
      </w:pPr>
      <w:r w:rsidDel="00000000" w:rsidR="00000000" w:rsidRPr="00000000">
        <w:rPr>
          <w:rtl w:val="0"/>
        </w:rPr>
      </w:r>
    </w:p>
    <w:p w:rsidR="00000000" w:rsidDel="00000000" w:rsidP="00000000" w:rsidRDefault="00000000" w:rsidRPr="00000000" w14:paraId="00000031">
      <w:pP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32">
      <w:pP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33">
      <w:pPr>
        <w:rPr>
          <w:rFonts w:ascii="Calibri" w:cs="Calibri" w:eastAsia="Calibri" w:hAnsi="Calibri"/>
          <w:b w:val="1"/>
          <w:color w:val="ff0000"/>
          <w:sz w:val="20"/>
          <w:szCs w:val="20"/>
        </w:rPr>
      </w:pPr>
      <w:r w:rsidDel="00000000" w:rsidR="00000000" w:rsidRPr="00000000">
        <w:rPr>
          <w:rFonts w:ascii="Calibri" w:cs="Calibri" w:eastAsia="Calibri" w:hAnsi="Calibri"/>
          <w:b w:val="1"/>
          <w:sz w:val="20"/>
          <w:szCs w:val="20"/>
          <w:rtl w:val="0"/>
        </w:rPr>
        <w:t xml:space="preserve">Points criteria: </w:t>
      </w:r>
      <w:r w:rsidDel="00000000" w:rsidR="00000000" w:rsidRPr="00000000">
        <w:rPr>
          <w:rtl w:val="0"/>
        </w:rPr>
      </w:r>
    </w:p>
    <w:tbl>
      <w:tblPr>
        <w:tblStyle w:val="Table2"/>
        <w:tblW w:w="1317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590"/>
        <w:gridCol w:w="2590"/>
        <w:gridCol w:w="2590"/>
        <w:gridCol w:w="2590"/>
        <w:gridCol w:w="2810"/>
        <w:tblGridChange w:id="0">
          <w:tblGrid>
            <w:gridCol w:w="2590"/>
            <w:gridCol w:w="2590"/>
            <w:gridCol w:w="2590"/>
            <w:gridCol w:w="2590"/>
            <w:gridCol w:w="2810"/>
          </w:tblGrid>
        </w:tblGridChange>
      </w:tblGrid>
      <w:tr>
        <w:tc>
          <w:tcPr>
            <w:shd w:fill="efe7d8" w:val="clear"/>
            <w:vAlign w:val="center"/>
          </w:tcPr>
          <w:p w:rsidR="00000000" w:rsidDel="00000000" w:rsidP="00000000" w:rsidRDefault="00000000" w:rsidRPr="00000000" w14:paraId="00000034">
            <w:pPr>
              <w:jc w:val="center"/>
              <w:rPr>
                <w:b w:val="1"/>
                <w:sz w:val="20"/>
                <w:szCs w:val="20"/>
              </w:rPr>
            </w:pPr>
            <w:r w:rsidDel="00000000" w:rsidR="00000000" w:rsidRPr="00000000">
              <w:rPr>
                <w:b w:val="1"/>
                <w:sz w:val="20"/>
                <w:szCs w:val="20"/>
                <w:rtl w:val="0"/>
              </w:rPr>
              <w:t xml:space="preserve">Criteria</w:t>
            </w:r>
          </w:p>
        </w:tc>
        <w:tc>
          <w:tcPr>
            <w:shd w:fill="efe7d8" w:val="clear"/>
            <w:vAlign w:val="center"/>
          </w:tcPr>
          <w:p w:rsidR="00000000" w:rsidDel="00000000" w:rsidP="00000000" w:rsidRDefault="00000000" w:rsidRPr="00000000" w14:paraId="00000035">
            <w:pPr>
              <w:jc w:val="center"/>
              <w:rPr>
                <w:b w:val="1"/>
                <w:sz w:val="20"/>
                <w:szCs w:val="20"/>
              </w:rPr>
            </w:pPr>
            <w:r w:rsidDel="00000000" w:rsidR="00000000" w:rsidRPr="00000000">
              <w:rPr>
                <w:b w:val="1"/>
                <w:sz w:val="20"/>
                <w:szCs w:val="20"/>
                <w:rtl w:val="0"/>
              </w:rPr>
              <w:t xml:space="preserve">Under performance</w:t>
            </w:r>
          </w:p>
          <w:p w:rsidR="00000000" w:rsidDel="00000000" w:rsidP="00000000" w:rsidRDefault="00000000" w:rsidRPr="00000000" w14:paraId="00000036">
            <w:pPr>
              <w:jc w:val="center"/>
              <w:rPr>
                <w:b w:val="1"/>
                <w:sz w:val="20"/>
                <w:szCs w:val="20"/>
              </w:rPr>
            </w:pPr>
            <w:r w:rsidDel="00000000" w:rsidR="00000000" w:rsidRPr="00000000">
              <w:rPr>
                <w:b w:val="1"/>
                <w:sz w:val="20"/>
                <w:szCs w:val="20"/>
                <w:rtl w:val="0"/>
              </w:rPr>
              <w:t xml:space="preserve">&lt;3 points per criteria</w:t>
            </w:r>
          </w:p>
        </w:tc>
        <w:tc>
          <w:tcPr>
            <w:shd w:fill="efe7d8" w:val="clear"/>
            <w:vAlign w:val="center"/>
          </w:tcPr>
          <w:p w:rsidR="00000000" w:rsidDel="00000000" w:rsidP="00000000" w:rsidRDefault="00000000" w:rsidRPr="00000000" w14:paraId="00000037">
            <w:pPr>
              <w:jc w:val="center"/>
              <w:rPr>
                <w:b w:val="1"/>
                <w:sz w:val="20"/>
                <w:szCs w:val="20"/>
              </w:rPr>
            </w:pPr>
            <w:r w:rsidDel="00000000" w:rsidR="00000000" w:rsidRPr="00000000">
              <w:rPr>
                <w:b w:val="1"/>
                <w:sz w:val="20"/>
                <w:szCs w:val="20"/>
                <w:rtl w:val="0"/>
              </w:rPr>
              <w:t xml:space="preserve">Basic</w:t>
            </w:r>
          </w:p>
          <w:p w:rsidR="00000000" w:rsidDel="00000000" w:rsidP="00000000" w:rsidRDefault="00000000" w:rsidRPr="00000000" w14:paraId="00000038">
            <w:pPr>
              <w:jc w:val="center"/>
              <w:rPr>
                <w:b w:val="1"/>
                <w:sz w:val="20"/>
                <w:szCs w:val="20"/>
              </w:rPr>
            </w:pPr>
            <w:r w:rsidDel="00000000" w:rsidR="00000000" w:rsidRPr="00000000">
              <w:rPr>
                <w:b w:val="1"/>
                <w:sz w:val="20"/>
                <w:szCs w:val="20"/>
                <w:rtl w:val="0"/>
              </w:rPr>
              <w:t xml:space="preserve">3 – 3.9 points per criteria</w:t>
            </w:r>
          </w:p>
        </w:tc>
        <w:tc>
          <w:tcPr>
            <w:shd w:fill="efe7d8" w:val="clear"/>
            <w:vAlign w:val="center"/>
          </w:tcPr>
          <w:p w:rsidR="00000000" w:rsidDel="00000000" w:rsidP="00000000" w:rsidRDefault="00000000" w:rsidRPr="00000000" w14:paraId="00000039">
            <w:pPr>
              <w:jc w:val="center"/>
              <w:rPr>
                <w:b w:val="1"/>
                <w:sz w:val="20"/>
                <w:szCs w:val="20"/>
              </w:rPr>
            </w:pPr>
            <w:r w:rsidDel="00000000" w:rsidR="00000000" w:rsidRPr="00000000">
              <w:rPr>
                <w:b w:val="1"/>
                <w:sz w:val="20"/>
                <w:szCs w:val="20"/>
                <w:rtl w:val="0"/>
              </w:rPr>
              <w:t xml:space="preserve">Proficient</w:t>
            </w:r>
          </w:p>
          <w:p w:rsidR="00000000" w:rsidDel="00000000" w:rsidP="00000000" w:rsidRDefault="00000000" w:rsidRPr="00000000" w14:paraId="0000003A">
            <w:pPr>
              <w:jc w:val="center"/>
              <w:rPr>
                <w:b w:val="1"/>
                <w:sz w:val="20"/>
                <w:szCs w:val="20"/>
              </w:rPr>
            </w:pPr>
            <w:r w:rsidDel="00000000" w:rsidR="00000000" w:rsidRPr="00000000">
              <w:rPr>
                <w:b w:val="1"/>
                <w:sz w:val="20"/>
                <w:szCs w:val="20"/>
                <w:rtl w:val="0"/>
              </w:rPr>
              <w:t xml:space="preserve">4.0 – 4.4 points per criteria</w:t>
            </w:r>
          </w:p>
        </w:tc>
        <w:tc>
          <w:tcPr>
            <w:shd w:fill="efe7d8" w:val="clear"/>
            <w:vAlign w:val="center"/>
          </w:tcPr>
          <w:p w:rsidR="00000000" w:rsidDel="00000000" w:rsidP="00000000" w:rsidRDefault="00000000" w:rsidRPr="00000000" w14:paraId="0000003B">
            <w:pPr>
              <w:jc w:val="center"/>
              <w:rPr>
                <w:b w:val="1"/>
                <w:sz w:val="20"/>
                <w:szCs w:val="20"/>
              </w:rPr>
            </w:pPr>
            <w:r w:rsidDel="00000000" w:rsidR="00000000" w:rsidRPr="00000000">
              <w:rPr>
                <w:b w:val="1"/>
                <w:sz w:val="20"/>
                <w:szCs w:val="20"/>
                <w:rtl w:val="0"/>
              </w:rPr>
              <w:t xml:space="preserve">Distinguished</w:t>
            </w:r>
          </w:p>
          <w:p w:rsidR="00000000" w:rsidDel="00000000" w:rsidP="00000000" w:rsidRDefault="00000000" w:rsidRPr="00000000" w14:paraId="0000003C">
            <w:pPr>
              <w:jc w:val="center"/>
              <w:rPr>
                <w:b w:val="1"/>
                <w:sz w:val="20"/>
                <w:szCs w:val="20"/>
              </w:rPr>
            </w:pPr>
            <w:r w:rsidDel="00000000" w:rsidR="00000000" w:rsidRPr="00000000">
              <w:rPr>
                <w:b w:val="1"/>
                <w:sz w:val="20"/>
                <w:szCs w:val="20"/>
                <w:rtl w:val="0"/>
              </w:rPr>
              <w:t xml:space="preserve">4.5 – 5 points per criteria</w:t>
            </w:r>
          </w:p>
        </w:tc>
      </w:tr>
      <w:tr>
        <w:tc>
          <w:tcPr>
            <w:vAlign w:val="center"/>
          </w:tcPr>
          <w:p w:rsidR="00000000" w:rsidDel="00000000" w:rsidP="00000000" w:rsidRDefault="00000000" w:rsidRPr="00000000" w14:paraId="0000003D">
            <w:pPr>
              <w:rPr>
                <w:sz w:val="20"/>
                <w:szCs w:val="20"/>
              </w:rPr>
            </w:pPr>
            <w:r w:rsidDel="00000000" w:rsidR="00000000" w:rsidRPr="00000000">
              <w:rPr>
                <w:b w:val="1"/>
                <w:sz w:val="20"/>
                <w:szCs w:val="20"/>
                <w:rtl w:val="0"/>
              </w:rPr>
              <w:t xml:space="preserve">Required content objectives</w:t>
            </w:r>
            <w:r w:rsidDel="00000000" w:rsidR="00000000" w:rsidRPr="00000000">
              <w:rPr>
                <w:rtl w:val="0"/>
              </w:rPr>
            </w:r>
          </w:p>
        </w:tc>
        <w:tc>
          <w:tcPr/>
          <w:p w:rsidR="00000000" w:rsidDel="00000000" w:rsidP="00000000" w:rsidRDefault="00000000" w:rsidRPr="00000000" w14:paraId="0000003E">
            <w:pPr>
              <w:rPr>
                <w:sz w:val="20"/>
                <w:szCs w:val="20"/>
              </w:rPr>
            </w:pPr>
            <w:r w:rsidDel="00000000" w:rsidR="00000000" w:rsidRPr="00000000">
              <w:rPr>
                <w:sz w:val="20"/>
                <w:szCs w:val="20"/>
                <w:rtl w:val="0"/>
              </w:rPr>
              <w:t xml:space="preserve">Content objectives are missing or sparsely covered. </w:t>
            </w:r>
          </w:p>
        </w:tc>
        <w:tc>
          <w:tcPr/>
          <w:p w:rsidR="00000000" w:rsidDel="00000000" w:rsidP="00000000" w:rsidRDefault="00000000" w:rsidRPr="00000000" w14:paraId="0000003F">
            <w:pPr>
              <w:rPr>
                <w:sz w:val="20"/>
                <w:szCs w:val="20"/>
              </w:rPr>
            </w:pPr>
            <w:r w:rsidDel="00000000" w:rsidR="00000000" w:rsidRPr="00000000">
              <w:rPr>
                <w:sz w:val="20"/>
                <w:szCs w:val="20"/>
                <w:rtl w:val="0"/>
              </w:rPr>
              <w:t xml:space="preserve">Content objectives are not consistently addressed. Demonstrates minimal understanding of content. </w:t>
            </w:r>
          </w:p>
        </w:tc>
        <w:tc>
          <w:tcPr/>
          <w:p w:rsidR="00000000" w:rsidDel="00000000" w:rsidP="00000000" w:rsidRDefault="00000000" w:rsidRPr="00000000" w14:paraId="00000040">
            <w:pPr>
              <w:rPr>
                <w:sz w:val="20"/>
                <w:szCs w:val="20"/>
              </w:rPr>
            </w:pPr>
            <w:r w:rsidDel="00000000" w:rsidR="00000000" w:rsidRPr="00000000">
              <w:rPr>
                <w:sz w:val="20"/>
                <w:szCs w:val="20"/>
                <w:rtl w:val="0"/>
              </w:rPr>
              <w:t xml:space="preserve">Content objectives consistently addressed. Demonstrates understanding of content. </w:t>
            </w:r>
          </w:p>
        </w:tc>
        <w:tc>
          <w:tcPr/>
          <w:p w:rsidR="00000000" w:rsidDel="00000000" w:rsidP="00000000" w:rsidRDefault="00000000" w:rsidRPr="00000000" w14:paraId="00000041">
            <w:pPr>
              <w:rPr>
                <w:sz w:val="20"/>
                <w:szCs w:val="20"/>
              </w:rPr>
            </w:pPr>
            <w:r w:rsidDel="00000000" w:rsidR="00000000" w:rsidRPr="00000000">
              <w:rPr>
                <w:sz w:val="20"/>
                <w:szCs w:val="20"/>
                <w:rtl w:val="0"/>
              </w:rPr>
              <w:t xml:space="preserve">Content objectives consistently addressed. Demonstrates mastery of content. </w:t>
            </w:r>
          </w:p>
        </w:tc>
      </w:tr>
      <w:tr>
        <w:tc>
          <w:tcPr>
            <w:vAlign w:val="center"/>
          </w:tcPr>
          <w:p w:rsidR="00000000" w:rsidDel="00000000" w:rsidP="00000000" w:rsidRDefault="00000000" w:rsidRPr="00000000" w14:paraId="00000042">
            <w:pPr>
              <w:rPr>
                <w:sz w:val="20"/>
                <w:szCs w:val="20"/>
              </w:rPr>
            </w:pPr>
            <w:r w:rsidDel="00000000" w:rsidR="00000000" w:rsidRPr="00000000">
              <w:rPr>
                <w:b w:val="1"/>
                <w:sz w:val="20"/>
                <w:szCs w:val="20"/>
                <w:rtl w:val="0"/>
              </w:rPr>
              <w:t xml:space="preserve">Academic writing standards</w:t>
            </w:r>
            <w:r w:rsidDel="00000000" w:rsidR="00000000" w:rsidRPr="00000000">
              <w:rPr>
                <w:rtl w:val="0"/>
              </w:rPr>
            </w:r>
          </w:p>
        </w:tc>
        <w:tc>
          <w:tcPr/>
          <w:p w:rsidR="00000000" w:rsidDel="00000000" w:rsidP="00000000" w:rsidRDefault="00000000" w:rsidRPr="00000000" w14:paraId="00000043">
            <w:pPr>
              <w:rPr>
                <w:sz w:val="20"/>
                <w:szCs w:val="20"/>
              </w:rPr>
            </w:pPr>
            <w:r w:rsidDel="00000000" w:rsidR="00000000" w:rsidRPr="00000000">
              <w:rPr>
                <w:sz w:val="20"/>
                <w:szCs w:val="20"/>
                <w:rtl w:val="0"/>
              </w:rPr>
              <w:t xml:space="preserve">Writing lacks scholarly tone &amp; focus. Sparse content. Multiple grammatical, spelling, &amp; factual errors. Reliance on bullet points rather than effective writing in speaker notes. 4 or more direct quotes per project.</w:t>
            </w:r>
          </w:p>
        </w:tc>
        <w:tc>
          <w:tcPr/>
          <w:p w:rsidR="00000000" w:rsidDel="00000000" w:rsidP="00000000" w:rsidRDefault="00000000" w:rsidRPr="00000000" w14:paraId="00000044">
            <w:pPr>
              <w:rPr>
                <w:sz w:val="20"/>
                <w:szCs w:val="20"/>
              </w:rPr>
            </w:pPr>
            <w:r w:rsidDel="00000000" w:rsidR="00000000" w:rsidRPr="00000000">
              <w:rPr>
                <w:sz w:val="20"/>
                <w:szCs w:val="20"/>
                <w:rtl w:val="0"/>
              </w:rPr>
              <w:t xml:space="preserve">Writing is unclear and/or disorganized. Inconsistent scholarly tone. Inadequate depth of content. Grammatical and spelling errors. </w:t>
            </w:r>
            <w:r w:rsidDel="00000000" w:rsidR="00000000" w:rsidRPr="00000000">
              <w:rPr>
                <w:rFonts w:ascii="Calibri" w:cs="Calibri" w:eastAsia="Calibri" w:hAnsi="Calibri"/>
                <w:sz w:val="18"/>
                <w:szCs w:val="18"/>
                <w:rtl w:val="0"/>
              </w:rPr>
              <w:t xml:space="preserve">No more than 3 direct quote of less than 40 words per project.</w:t>
            </w:r>
            <w:r w:rsidDel="00000000" w:rsidR="00000000" w:rsidRPr="00000000">
              <w:rPr>
                <w:rtl w:val="0"/>
              </w:rPr>
            </w:r>
          </w:p>
        </w:tc>
        <w:tc>
          <w:tcPr/>
          <w:p w:rsidR="00000000" w:rsidDel="00000000" w:rsidP="00000000" w:rsidRDefault="00000000" w:rsidRPr="00000000" w14:paraId="00000045">
            <w:pPr>
              <w:rPr>
                <w:sz w:val="20"/>
                <w:szCs w:val="20"/>
              </w:rPr>
            </w:pPr>
            <w:r w:rsidDel="00000000" w:rsidR="00000000" w:rsidRPr="00000000">
              <w:rPr>
                <w:sz w:val="20"/>
                <w:szCs w:val="20"/>
                <w:rtl w:val="0"/>
              </w:rPr>
              <w:t xml:space="preserve">Writing demonstrates general exploration of content. Responses are clearly written using scholarly tone. Few grammatical and/or spelling errors. </w:t>
            </w:r>
            <w:r w:rsidDel="00000000" w:rsidR="00000000" w:rsidRPr="00000000">
              <w:rPr>
                <w:rFonts w:ascii="Calibri" w:cs="Calibri" w:eastAsia="Calibri" w:hAnsi="Calibri"/>
                <w:sz w:val="18"/>
                <w:szCs w:val="18"/>
                <w:rtl w:val="0"/>
              </w:rPr>
              <w:t xml:space="preserve">No more than 2 direct quote of less than 40 words per project.</w:t>
            </w:r>
            <w:r w:rsidDel="00000000" w:rsidR="00000000" w:rsidRPr="00000000">
              <w:rPr>
                <w:rtl w:val="0"/>
              </w:rPr>
            </w:r>
          </w:p>
        </w:tc>
        <w:tc>
          <w:tcPr/>
          <w:p w:rsidR="00000000" w:rsidDel="00000000" w:rsidP="00000000" w:rsidRDefault="00000000" w:rsidRPr="00000000" w14:paraId="00000046">
            <w:pPr>
              <w:rPr>
                <w:sz w:val="20"/>
                <w:szCs w:val="20"/>
              </w:rPr>
            </w:pPr>
            <w:r w:rsidDel="00000000" w:rsidR="00000000" w:rsidRPr="00000000">
              <w:rPr>
                <w:sz w:val="20"/>
                <w:szCs w:val="20"/>
                <w:rtl w:val="0"/>
              </w:rPr>
              <w:t xml:space="preserve">Writing demonstrates comprehensive exploration of content. Responses are clearly written using scholarly tone. Rare grammatical and/or spelling errors. </w:t>
            </w:r>
            <w:r w:rsidDel="00000000" w:rsidR="00000000" w:rsidRPr="00000000">
              <w:rPr>
                <w:rFonts w:ascii="Calibri" w:cs="Calibri" w:eastAsia="Calibri" w:hAnsi="Calibri"/>
                <w:sz w:val="18"/>
                <w:szCs w:val="18"/>
                <w:rtl w:val="0"/>
              </w:rPr>
              <w:t xml:space="preserve">No more than 1 direct quote of less than 40 words per project.</w:t>
            </w:r>
            <w:r w:rsidDel="00000000" w:rsidR="00000000" w:rsidRPr="00000000">
              <w:rPr>
                <w:rtl w:val="0"/>
              </w:rPr>
            </w:r>
          </w:p>
        </w:tc>
      </w:tr>
      <w:tr>
        <w:tc>
          <w:tcPr>
            <w:vAlign w:val="center"/>
          </w:tcPr>
          <w:p w:rsidR="00000000" w:rsidDel="00000000" w:rsidP="00000000" w:rsidRDefault="00000000" w:rsidRPr="00000000" w14:paraId="00000047">
            <w:pPr>
              <w:rPr>
                <w:b w:val="1"/>
                <w:sz w:val="20"/>
                <w:szCs w:val="20"/>
              </w:rPr>
            </w:pPr>
            <w:r w:rsidDel="00000000" w:rsidR="00000000" w:rsidRPr="00000000">
              <w:rPr>
                <w:b w:val="1"/>
                <w:sz w:val="20"/>
                <w:szCs w:val="20"/>
                <w:rtl w:val="0"/>
              </w:rPr>
              <w:t xml:space="preserve">APA formatting </w:t>
            </w:r>
          </w:p>
        </w:tc>
        <w:tc>
          <w:tcPr/>
          <w:p w:rsidR="00000000" w:rsidDel="00000000" w:rsidP="00000000" w:rsidRDefault="00000000" w:rsidRPr="00000000" w14:paraId="00000048">
            <w:pPr>
              <w:rPr>
                <w:sz w:val="20"/>
                <w:szCs w:val="20"/>
              </w:rPr>
            </w:pPr>
            <w:r w:rsidDel="00000000" w:rsidR="00000000" w:rsidRPr="00000000">
              <w:rPr>
                <w:sz w:val="20"/>
                <w:szCs w:val="20"/>
                <w:rtl w:val="0"/>
              </w:rPr>
              <w:t xml:space="preserve">References and citations have multiple errors or are missing.</w:t>
            </w:r>
          </w:p>
        </w:tc>
        <w:tc>
          <w:tcPr/>
          <w:p w:rsidR="00000000" w:rsidDel="00000000" w:rsidP="00000000" w:rsidRDefault="00000000" w:rsidRPr="00000000" w14:paraId="00000049">
            <w:pPr>
              <w:rPr>
                <w:sz w:val="20"/>
                <w:szCs w:val="20"/>
              </w:rPr>
            </w:pPr>
            <w:r w:rsidDel="00000000" w:rsidR="00000000" w:rsidRPr="00000000">
              <w:rPr>
                <w:sz w:val="20"/>
                <w:szCs w:val="20"/>
                <w:rtl w:val="0"/>
              </w:rPr>
              <w:t xml:space="preserve">References and citations have errors.</w:t>
            </w:r>
          </w:p>
        </w:tc>
        <w:tc>
          <w:tcPr/>
          <w:p w:rsidR="00000000" w:rsidDel="00000000" w:rsidP="00000000" w:rsidRDefault="00000000" w:rsidRPr="00000000" w14:paraId="0000004A">
            <w:pPr>
              <w:rPr>
                <w:sz w:val="20"/>
                <w:szCs w:val="20"/>
              </w:rPr>
            </w:pPr>
            <w:r w:rsidDel="00000000" w:rsidR="00000000" w:rsidRPr="00000000">
              <w:rPr>
                <w:sz w:val="20"/>
                <w:szCs w:val="20"/>
                <w:rtl w:val="0"/>
              </w:rPr>
              <w:t xml:space="preserve">References and citations have few errors.</w:t>
            </w:r>
          </w:p>
        </w:tc>
        <w:tc>
          <w:tcPr/>
          <w:p w:rsidR="00000000" w:rsidDel="00000000" w:rsidP="00000000" w:rsidRDefault="00000000" w:rsidRPr="00000000" w14:paraId="0000004B">
            <w:pPr>
              <w:rPr>
                <w:sz w:val="20"/>
                <w:szCs w:val="20"/>
              </w:rPr>
            </w:pPr>
            <w:r w:rsidDel="00000000" w:rsidR="00000000" w:rsidRPr="00000000">
              <w:rPr>
                <w:sz w:val="20"/>
                <w:szCs w:val="20"/>
                <w:rtl w:val="0"/>
              </w:rPr>
              <w:t xml:space="preserve">References and citations have rare errors.</w:t>
            </w:r>
          </w:p>
        </w:tc>
      </w:tr>
    </w:tbl>
    <w:p w:rsidR="00000000" w:rsidDel="00000000" w:rsidP="00000000" w:rsidRDefault="00000000" w:rsidRPr="00000000" w14:paraId="0000004C">
      <w:pPr>
        <w:rPr/>
      </w:pPr>
      <w:r w:rsidDel="00000000" w:rsidR="00000000" w:rsidRPr="00000000">
        <w:rPr>
          <w:rtl w:val="0"/>
        </w:rPr>
      </w:r>
    </w:p>
    <w:sectPr>
      <w:headerReference r:id="rId6" w:type="default"/>
      <w:footerReference r:id="rId7" w:type="default"/>
      <w:pgSz w:h="12240" w:w="158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R.B. Turnbull, Jr. MD School of WOC Nursing Education </w:t>
    </w:r>
  </w:p>
  <w:p w:rsidR="00000000" w:rsidDel="00000000" w:rsidP="00000000" w:rsidRDefault="00000000" w:rsidRPr="00000000" w14:paraId="0000004F">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D">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mc:AlternateContent>
        <mc:Choice Requires="wpg">
          <w:drawing>
            <wp:anchor allowOverlap="1" behindDoc="0" distB="0" distT="0" distL="114300" distR="114300" hidden="0" layoutInCell="1" locked="0" relativeHeight="0" simplePos="0">
              <wp:simplePos x="0" y="0"/>
              <wp:positionH relativeFrom="rightMargin">
                <wp:align>center</wp:align>
              </wp:positionH>
              <wp:positionV relativeFrom="margin">
                <wp:align>bottom</wp:align>
              </wp:positionV>
              <wp:extent cx="520065" cy="2192655"/>
              <wp:effectExtent b="0" l="0" r="0" t="0"/>
              <wp:wrapNone/>
              <wp:docPr id="1" name=""/>
              <a:graphic>
                <a:graphicData uri="http://schemas.microsoft.com/office/word/2010/wordprocessingShape">
                  <wps:wsp>
                    <wps:cNvSpPr/>
                    <wps:cNvPr id="2" name="Shape 2"/>
                    <wps:spPr>
                      <a:xfrm rot="-5400000">
                        <a:off x="4254435" y="3524730"/>
                        <a:ext cx="2183130" cy="51054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8"/>
                              <w:vertAlign w:val="baseline"/>
                            </w:rPr>
                            <w:t xml:space="preserve">Page</w:t>
                          </w:r>
                          <w:r w:rsidDel="00000000" w:rsidR="00000000" w:rsidRPr="00000000">
                            <w:rPr>
                              <w:rFonts w:ascii="Arial" w:cs="Arial" w:eastAsia="Arial" w:hAnsi="Arial"/>
                              <w:b w:val="0"/>
                              <w:i w:val="0"/>
                              <w:smallCaps w:val="0"/>
                              <w:strike w:val="0"/>
                              <w:color w:val="000000"/>
                              <w:sz w:val="28"/>
                              <w:vertAlign w:val="baseline"/>
                            </w:rPr>
                            <w:t xml:space="preserve"> PAGE    \* MERGEFORMAT </w:t>
                          </w:r>
                          <w:r w:rsidDel="00000000" w:rsidR="00000000" w:rsidRPr="00000000">
                            <w:rPr>
                              <w:rFonts w:ascii="Calibri" w:cs="Calibri" w:eastAsia="Calibri" w:hAnsi="Calibri"/>
                              <w:b w:val="0"/>
                              <w:i w:val="0"/>
                              <w:smallCaps w:val="0"/>
                              <w:strike w:val="0"/>
                              <w:color w:val="000000"/>
                              <w:sz w:val="44"/>
                              <w:vertAlign w:val="baseline"/>
                            </w:rPr>
                            <w:t xml:space="preserve">1</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rightMargin">
                <wp:align>center</wp:align>
              </wp:positionH>
              <wp:positionV relativeFrom="margin">
                <wp:align>bottom</wp:align>
              </wp:positionV>
              <wp:extent cx="520065" cy="2192655"/>
              <wp:effectExtent b="0" l="0" r="0" t="0"/>
              <wp:wrapNone/>
              <wp:docPr id="1"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520065" cy="2192655"/>
                      </a:xfrm>
                      <a:prstGeom prst="rect"/>
                      <a:ln/>
                    </pic:spPr>
                  </pic:pic>
                </a:graphicData>
              </a:graphic>
            </wp:anchor>
          </w:drawing>
        </mc:Fallback>
      </mc:AlternateConten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Preventing and treating CAUTI</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7133590</wp:posOffset>
          </wp:positionH>
          <wp:positionV relativeFrom="paragraph">
            <wp:posOffset>-121919</wp:posOffset>
          </wp:positionV>
          <wp:extent cx="1096010" cy="330200"/>
          <wp:effectExtent b="0" l="0" r="0" t="0"/>
          <wp:wrapSquare wrapText="bothSides" distB="0" distT="0" distL="114300" distR="114300"/>
          <wp:docPr id="2" name="image1.jpg"/>
          <a:graphic>
            <a:graphicData uri="http://schemas.openxmlformats.org/drawingml/2006/picture">
              <pic:pic>
                <pic:nvPicPr>
                  <pic:cNvPr id="0" name="image1.jpg"/>
                  <pic:cNvPicPr preferRelativeResize="0"/>
                </pic:nvPicPr>
                <pic:blipFill>
                  <a:blip r:embed="rId2"/>
                  <a:srcRect b="0" l="0" r="0" t="0"/>
                  <a:stretch>
                    <a:fillRect/>
                  </a:stretch>
                </pic:blipFill>
                <pic:spPr>
                  <a:xfrm>
                    <a:off x="0" y="0"/>
                    <a:ext cx="1096010" cy="33020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before="480" w:lineRule="auto"/>
    </w:pPr>
    <w:rPr>
      <w:b w:val="1"/>
      <w:color w:val="345a8a"/>
      <w:sz w:val="32"/>
      <w:szCs w:val="32"/>
    </w:rPr>
  </w:style>
  <w:style w:type="paragraph" w:styleId="Heading2">
    <w:name w:val="heading 2"/>
    <w:basedOn w:val="Normal"/>
    <w:next w:val="Normal"/>
    <w:pPr>
      <w:spacing w:before="200" w:lineRule="auto"/>
    </w:pPr>
    <w:rPr>
      <w:b w:val="1"/>
      <w:color w:val="4f81bd"/>
      <w:sz w:val="26"/>
      <w:szCs w:val="26"/>
    </w:rPr>
  </w:style>
  <w:style w:type="paragraph" w:styleId="Heading3">
    <w:name w:val="heading 3"/>
    <w:basedOn w:val="Normal"/>
    <w:next w:val="Normal"/>
    <w:pPr>
      <w:spacing w:before="200" w:lineRule="auto"/>
    </w:pPr>
    <w:rPr>
      <w:b w:val="1"/>
      <w:color w:val="4f81bd"/>
      <w:sz w:val="24"/>
      <w:szCs w:val="24"/>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300" w:lineRule="auto"/>
    </w:pPr>
    <w:rPr>
      <w:color w:val="17365d"/>
      <w:sz w:val="52"/>
      <w:szCs w:val="52"/>
    </w:rPr>
  </w:style>
  <w:style w:type="paragraph" w:styleId="Subtitle">
    <w:name w:val="Subtitle"/>
    <w:basedOn w:val="Normal"/>
    <w:next w:val="Normal"/>
    <w:pPr/>
    <w:rPr>
      <w:i w:val="1"/>
      <w:color w:val="4f81bd"/>
      <w:sz w:val="24"/>
      <w:szCs w:val="24"/>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