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881359" w:rsidP="0041298F">
            <w:pPr>
              <w:pStyle w:val="Pictur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486400" cy="4267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50" b="3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E76" w:rsidRPr="0041298F" w:rsidRDefault="00881359" w:rsidP="002C5E76">
      <w:pPr>
        <w:pStyle w:val="ASAHeading"/>
      </w:pPr>
      <w:r>
        <w:rPr>
          <w:noProof/>
        </w:rPr>
        <w:drawing>
          <wp:inline distT="0" distB="0" distL="0" distR="0">
            <wp:extent cx="228600" cy="198120"/>
            <wp:effectExtent l="0" t="0" r="0" b="0"/>
            <wp:docPr id="4" name="Picture 4" descr="MCj029507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29507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315BC1">
        <w:t>7.2.2 Playing the Average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315BC1" w:rsidRDefault="00881359" w:rsidP="00315BC1">
      <w:pPr>
        <w:pStyle w:val="ActivityBody"/>
      </w:pPr>
      <w:r>
        <w:t xml:space="preserve">Have you ever wondered how people are compared to each other? Student comparison occurs when a teacher curves </w:t>
      </w:r>
      <w:r w:rsidR="00FD7F01">
        <w:t>class scores</w:t>
      </w:r>
      <w:r>
        <w:t xml:space="preserve"> or schools compare students using grade levels. In the </w:t>
      </w:r>
      <w:r w:rsidR="008D225D">
        <w:t xml:space="preserve">livestock </w:t>
      </w:r>
      <w:r>
        <w:t>industry, producers compare animals</w:t>
      </w:r>
      <w:r w:rsidR="00315BC1">
        <w:t xml:space="preserve"> </w:t>
      </w:r>
      <w:r>
        <w:t>to each other as well. Producers compare animals</w:t>
      </w:r>
      <w:r w:rsidR="00315BC1">
        <w:t xml:space="preserve"> to select parents for futu</w:t>
      </w:r>
      <w:r>
        <w:t>re generations</w:t>
      </w:r>
      <w:r w:rsidR="00315BC1">
        <w:t>. Animals that outperform their peers are expected to have high performing offspring.</w:t>
      </w:r>
    </w:p>
    <w:p w:rsidR="00315BC1" w:rsidRPr="008C5E68" w:rsidRDefault="00315BC1" w:rsidP="00315BC1"/>
    <w:p w:rsidR="00315BC1" w:rsidRDefault="00315BC1" w:rsidP="00315BC1">
      <w:pPr>
        <w:pStyle w:val="ActivityBody"/>
      </w:pPr>
      <w:r>
        <w:t>One way to compare animals to each other is by using a simple ratio. Ratios compare an individual with the group average using the following for</w:t>
      </w:r>
      <w:r w:rsidR="00881359">
        <w:t>mula.</w:t>
      </w:r>
    </w:p>
    <w:p w:rsidR="00315BC1" w:rsidRPr="008C5E68" w:rsidRDefault="00315BC1" w:rsidP="00315BC1"/>
    <w:p w:rsidR="00315BC1" w:rsidRDefault="00330F03" w:rsidP="00315BC1">
      <w:pPr>
        <w:pStyle w:val="PictureCentered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Individual measurement</m:t>
              </m:r>
            </m:num>
            <m:den>
              <m:r>
                <w:rPr>
                  <w:rFonts w:ascii="Cambria Math" w:hAnsi="Cambria Math"/>
                </w:rPr>
                <m:t>Group average measurement</m:t>
              </m:r>
            </m:den>
          </m:f>
          <m:r>
            <w:rPr>
              <w:rFonts w:ascii="Cambria Math" w:hAnsi="Cambria Math"/>
            </w:rPr>
            <m:t>×100</m:t>
          </m:r>
        </m:oMath>
      </m:oMathPara>
    </w:p>
    <w:p w:rsidR="00315BC1" w:rsidRPr="008C5E68" w:rsidRDefault="00315BC1" w:rsidP="00315BC1"/>
    <w:p w:rsidR="00315BC1" w:rsidRDefault="00315BC1" w:rsidP="00881359">
      <w:pPr>
        <w:pStyle w:val="ActivityBody"/>
      </w:pPr>
      <w:r>
        <w:t>A ratio of 100 is average for a group. Numbers above 100 exceed the group average while numbers below 100 indicate a</w:t>
      </w:r>
      <w:r w:rsidR="00881359">
        <w:t xml:space="preserve">n individual is below average. </w:t>
      </w:r>
      <w:r>
        <w:t>A ratio of 102 would be two percent above the average for a group while a ratio of 94 would be six percent below the average for a group.</w:t>
      </w:r>
      <w:r w:rsidR="00881359">
        <w:t xml:space="preserve"> </w:t>
      </w:r>
      <w:r>
        <w:t xml:space="preserve">Ratios are sometimes incorrectly called indexes. Although based on the same scale where 100 is average, indexes use several traits while ratios analyze variation in a </w:t>
      </w:r>
      <w:r w:rsidRPr="005B3075">
        <w:rPr>
          <w:rStyle w:val="Italic"/>
        </w:rPr>
        <w:t>single</w:t>
      </w:r>
      <w:r>
        <w:t xml:space="preserve"> trait among a group of animals.</w:t>
      </w:r>
    </w:p>
    <w:p w:rsidR="00315BC1" w:rsidRPr="008C5E68" w:rsidRDefault="00315BC1" w:rsidP="00315BC1"/>
    <w:p w:rsidR="00315BC1" w:rsidRDefault="00315BC1" w:rsidP="00315BC1">
      <w:pPr>
        <w:pStyle w:val="ActivityBody"/>
      </w:pPr>
      <w:r>
        <w:t>For ratio comparisons to be valid, they must be made among individuals within a contemporary group. A contemporary group consists of individuals about the same gender, age, and raised in identical environmental conditions.</w:t>
      </w:r>
    </w:p>
    <w:p w:rsidR="00315BC1" w:rsidRPr="008C5E68" w:rsidRDefault="00315BC1" w:rsidP="00315BC1"/>
    <w:p w:rsidR="002C5E76" w:rsidRDefault="00315BC1" w:rsidP="00315BC1">
      <w:pPr>
        <w:pStyle w:val="ActivityBody"/>
      </w:pPr>
      <w:r>
        <w:t>Livestock producers use ratios to compare animals of the same gender within a group for traits like average daily gain, birth weight, weaning wei</w:t>
      </w:r>
      <w:r w:rsidR="00FD7F01">
        <w:t>ght, and yearling weight. T</w:t>
      </w:r>
      <w:r>
        <w:t>hen select animals with the highest ratios as breeding stock to improve those traits in future generations.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95"/>
        <w:gridCol w:w="5405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g</w:t>
            </w:r>
            <w:r w:rsidR="00315BC1">
              <w:t>ender</w:t>
            </w:r>
            <w:r>
              <w:t>:</w:t>
            </w:r>
          </w:p>
          <w:p w:rsidR="002C5E76" w:rsidRDefault="00EC4D87" w:rsidP="00315BC1">
            <w:pPr>
              <w:pStyle w:val="Activitybullet"/>
            </w:pPr>
            <w:r>
              <w:t>10f</w:t>
            </w:r>
            <w:r w:rsidR="00315BC1">
              <w:t>t tape measure</w:t>
            </w:r>
          </w:p>
        </w:tc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:rsidR="00315BC1" w:rsidRDefault="00315BC1" w:rsidP="00315BC1">
            <w:pPr>
              <w:pStyle w:val="Activitybullet"/>
            </w:pPr>
            <w:r w:rsidRPr="00315BC1">
              <w:t>Pencil</w:t>
            </w:r>
          </w:p>
          <w:p w:rsidR="002C5E76" w:rsidRPr="00315BC1" w:rsidRDefault="00315BC1" w:rsidP="00315BC1">
            <w:pPr>
              <w:pStyle w:val="Activitybullet"/>
              <w:rPr>
                <w:rStyle w:val="Italic"/>
              </w:rPr>
            </w:pPr>
            <w:r w:rsidRPr="00315BC1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315BC1" w:rsidRDefault="00EC4D87" w:rsidP="00315BC1">
      <w:pPr>
        <w:pStyle w:val="ActivityBody"/>
      </w:pPr>
      <w:r>
        <w:t>In this activity, you will</w:t>
      </w:r>
      <w:r w:rsidR="00315BC1">
        <w:t xml:space="preserve"> develop a ratio for female and male class members for height. Next, you will apply this to animal situations.</w:t>
      </w:r>
    </w:p>
    <w:p w:rsidR="00315BC1" w:rsidRPr="0097112A" w:rsidRDefault="00315BC1" w:rsidP="00315BC1"/>
    <w:p w:rsidR="00315BC1" w:rsidRPr="0097112A" w:rsidRDefault="00315BC1" w:rsidP="00315BC1">
      <w:pPr>
        <w:pStyle w:val="ActivityBodyBold"/>
      </w:pPr>
      <w:r>
        <w:t>Part One – Student Height Ratio</w:t>
      </w:r>
    </w:p>
    <w:p w:rsidR="00315BC1" w:rsidRPr="00BE6636" w:rsidRDefault="00FD7F01" w:rsidP="00315BC1">
      <w:pPr>
        <w:pStyle w:val="ActivityNumbers"/>
      </w:pPr>
      <w:r>
        <w:t>M</w:t>
      </w:r>
      <w:r w:rsidR="00315BC1" w:rsidRPr="00BE6636">
        <w:t xml:space="preserve">easure </w:t>
      </w:r>
      <w:r w:rsidR="00315BC1">
        <w:t xml:space="preserve">the height of </w:t>
      </w:r>
      <w:r w:rsidR="00315BC1" w:rsidRPr="00BE6636">
        <w:t xml:space="preserve">each of the females in the class and record the height measurement in inches </w:t>
      </w:r>
      <w:r w:rsidR="00EC4D87">
        <w:t xml:space="preserve">in </w:t>
      </w:r>
      <w:r w:rsidR="00315BC1">
        <w:t xml:space="preserve">Table </w:t>
      </w:r>
      <w:r w:rsidR="00315BC1" w:rsidRPr="00BE6636">
        <w:t>1</w:t>
      </w:r>
      <w:r w:rsidR="00315BC1">
        <w:t xml:space="preserve"> on </w:t>
      </w:r>
      <w:hyperlink w:anchor="Act722WS" w:history="1">
        <w:r w:rsidR="00315BC1" w:rsidRPr="00EC4D87">
          <w:rPr>
            <w:rStyle w:val="Italic"/>
          </w:rPr>
          <w:t>Activity 7.2.2 Student Worksheet</w:t>
        </w:r>
      </w:hyperlink>
      <w:r w:rsidR="00315BC1">
        <w:t>.</w:t>
      </w:r>
    </w:p>
    <w:p w:rsidR="00315BC1" w:rsidRPr="00BE6636" w:rsidRDefault="00315BC1" w:rsidP="00315BC1">
      <w:pPr>
        <w:pStyle w:val="ActivityNumbers"/>
      </w:pPr>
      <w:r w:rsidRPr="00BE6636">
        <w:t xml:space="preserve">Repeat the procedure for males and record </w:t>
      </w:r>
      <w:r>
        <w:t>each male’s</w:t>
      </w:r>
      <w:r w:rsidR="00EC4D87">
        <w:t xml:space="preserve"> height measurement in</w:t>
      </w:r>
      <w:r w:rsidRPr="00BE6636">
        <w:t xml:space="preserve"> </w:t>
      </w:r>
      <w:r>
        <w:t xml:space="preserve">Table </w:t>
      </w:r>
      <w:r w:rsidRPr="00BE6636">
        <w:t>2.</w:t>
      </w:r>
    </w:p>
    <w:p w:rsidR="00315BC1" w:rsidRDefault="00315BC1" w:rsidP="00315BC1">
      <w:pPr>
        <w:pStyle w:val="ActivityNumbers"/>
      </w:pPr>
      <w:r w:rsidRPr="00BE6636">
        <w:t>Calculate the average height for females by adding all the female heights and dividing the sum by the number of females. Repeat the</w:t>
      </w:r>
      <w:r>
        <w:t xml:space="preserve"> averaging procedure for males.</w:t>
      </w:r>
    </w:p>
    <w:p w:rsidR="00315BC1" w:rsidRDefault="00315BC1" w:rsidP="00315BC1">
      <w:pPr>
        <w:pStyle w:val="ActivityNumbers"/>
      </w:pPr>
      <w:r>
        <w:t>C</w:t>
      </w:r>
      <w:r w:rsidRPr="00BE6636">
        <w:t>alculate a ratio for each class member within his or her gender.</w:t>
      </w:r>
      <w:r w:rsidR="008D225D">
        <w:t xml:space="preserve"> Use the formula provided above.</w:t>
      </w:r>
    </w:p>
    <w:p w:rsidR="00315BC1" w:rsidRPr="00DE72A2" w:rsidRDefault="00FD7F01" w:rsidP="00315BC1">
      <w:pPr>
        <w:pStyle w:val="ActivityNumbers"/>
      </w:pPr>
      <w:r>
        <w:lastRenderedPageBreak/>
        <w:t xml:space="preserve">Answer the </w:t>
      </w:r>
      <w:r w:rsidR="008D225D">
        <w:t xml:space="preserve">analysis </w:t>
      </w:r>
      <w:r>
        <w:t>questions .</w:t>
      </w:r>
    </w:p>
    <w:p w:rsidR="00315BC1" w:rsidRDefault="00315BC1" w:rsidP="00315BC1"/>
    <w:p w:rsidR="00315BC1" w:rsidRDefault="00315BC1" w:rsidP="00315BC1">
      <w:pPr>
        <w:pStyle w:val="ActivityBodyBold"/>
      </w:pPr>
      <w:r>
        <w:t>Part Two – Applications in Animal Agriculture</w:t>
      </w:r>
    </w:p>
    <w:p w:rsidR="000B65EB" w:rsidRDefault="008D225D" w:rsidP="000B65EB">
      <w:pPr>
        <w:pStyle w:val="ActivityBody"/>
      </w:pPr>
      <w:r>
        <w:t>E</w:t>
      </w:r>
      <w:r w:rsidR="000B65EB">
        <w:t xml:space="preserve">valuate growth </w:t>
      </w:r>
      <w:r>
        <w:t xml:space="preserve">of a group of rams </w:t>
      </w:r>
      <w:r w:rsidR="000B65EB">
        <w:t>by comparing the 90 day weight ratio</w:t>
      </w:r>
      <w:r>
        <w:t xml:space="preserve"> of the animals</w:t>
      </w:r>
      <w:r w:rsidR="000B65EB">
        <w:t>.</w:t>
      </w:r>
    </w:p>
    <w:p w:rsidR="00A13EC5" w:rsidRPr="00A13EC5" w:rsidRDefault="00A13EC5" w:rsidP="00A13EC5"/>
    <w:p w:rsidR="00315BC1" w:rsidRPr="00C059E4" w:rsidRDefault="00315BC1" w:rsidP="00315BC1">
      <w:pPr>
        <w:pStyle w:val="ActivityNumbers"/>
        <w:numPr>
          <w:ilvl w:val="0"/>
          <w:numId w:val="9"/>
        </w:numPr>
      </w:pPr>
      <w:r>
        <w:t>Calculate the 90-day weight ratio and round the ratios and the averages to the nearest tenth</w:t>
      </w:r>
      <w:r w:rsidR="00FD7F01">
        <w:t xml:space="preserve"> for each ram</w:t>
      </w:r>
      <w:r w:rsidR="003844C4">
        <w:t xml:space="preserve">. </w:t>
      </w:r>
      <w:r w:rsidR="000B65EB">
        <w:t>Record values</w:t>
      </w:r>
      <w:r w:rsidR="00FD7F01">
        <w:t xml:space="preserve"> in Table 3 o</w:t>
      </w:r>
      <w:r w:rsidR="000B65EB">
        <w:t>f</w:t>
      </w:r>
      <w:r w:rsidR="00FD7F01">
        <w:t xml:space="preserve"> </w:t>
      </w:r>
      <w:r w:rsidR="00FD7F01" w:rsidRPr="00FD7F01">
        <w:rPr>
          <w:rStyle w:val="Italic"/>
        </w:rPr>
        <w:t>Activity 7.2.2 Student Worksheet</w:t>
      </w:r>
      <w:r w:rsidR="00FD7F01">
        <w:t>.</w:t>
      </w:r>
    </w:p>
    <w:p w:rsidR="00315BC1" w:rsidRDefault="00FD7F01" w:rsidP="00315BC1">
      <w:pPr>
        <w:pStyle w:val="ActivityNumbers"/>
      </w:pPr>
      <w:r>
        <w:t xml:space="preserve">Answer the </w:t>
      </w:r>
      <w:r w:rsidR="008D225D">
        <w:t xml:space="preserve">analysis </w:t>
      </w:r>
      <w:r>
        <w:t>questions.</w:t>
      </w:r>
    </w:p>
    <w:p w:rsidR="00315BC1" w:rsidRPr="00C059E4" w:rsidRDefault="00315BC1" w:rsidP="00315BC1"/>
    <w:p w:rsidR="00315BC1" w:rsidRDefault="00315BC1" w:rsidP="00315BC1">
      <w:pPr>
        <w:pStyle w:val="ActivitySection"/>
      </w:pPr>
      <w:r>
        <w:t>Conclusion</w:t>
      </w:r>
    </w:p>
    <w:p w:rsidR="00315BC1" w:rsidRDefault="00315BC1" w:rsidP="00E04C22">
      <w:pPr>
        <w:pStyle w:val="ActivityNumbers"/>
        <w:numPr>
          <w:ilvl w:val="0"/>
          <w:numId w:val="13"/>
        </w:numPr>
      </w:pPr>
      <w:r>
        <w:t>What is a ratio?</w:t>
      </w:r>
    </w:p>
    <w:p w:rsidR="00315BC1" w:rsidRDefault="00315BC1" w:rsidP="00315BC1"/>
    <w:p w:rsidR="00315BC1" w:rsidRDefault="00315BC1" w:rsidP="00315BC1"/>
    <w:p w:rsidR="00315BC1" w:rsidRDefault="00315BC1" w:rsidP="00315BC1"/>
    <w:p w:rsidR="00315BC1" w:rsidRDefault="00315BC1" w:rsidP="00315BC1"/>
    <w:p w:rsidR="00315BC1" w:rsidRPr="001829EB" w:rsidRDefault="00315BC1" w:rsidP="00315BC1"/>
    <w:p w:rsidR="00315BC1" w:rsidRDefault="00315BC1" w:rsidP="00315BC1">
      <w:pPr>
        <w:pStyle w:val="ActivityNumbers"/>
        <w:numPr>
          <w:ilvl w:val="0"/>
          <w:numId w:val="9"/>
        </w:numPr>
      </w:pPr>
      <w:r>
        <w:t>How are ratios used in livestock selection?</w:t>
      </w:r>
    </w:p>
    <w:p w:rsidR="00315BC1" w:rsidRDefault="00315BC1" w:rsidP="00315BC1"/>
    <w:p w:rsidR="00315BC1" w:rsidRDefault="00315BC1" w:rsidP="00315BC1"/>
    <w:p w:rsidR="00315BC1" w:rsidRDefault="00315BC1" w:rsidP="00315BC1"/>
    <w:p w:rsidR="00315BC1" w:rsidRDefault="00315BC1" w:rsidP="00315BC1"/>
    <w:p w:rsidR="00315BC1" w:rsidRPr="001829EB" w:rsidRDefault="00315BC1" w:rsidP="00315BC1"/>
    <w:p w:rsidR="00315BC1" w:rsidRDefault="00315BC1" w:rsidP="00315BC1">
      <w:pPr>
        <w:pStyle w:val="ActivityNumbers"/>
        <w:numPr>
          <w:ilvl w:val="0"/>
          <w:numId w:val="9"/>
        </w:numPr>
      </w:pPr>
      <w:r>
        <w:t>What is the importance of contemporary groups when calculating a ratio?</w:t>
      </w:r>
    </w:p>
    <w:p w:rsidR="00315BC1" w:rsidRDefault="00315BC1" w:rsidP="00315BC1"/>
    <w:p w:rsidR="00315BC1" w:rsidRDefault="00315BC1" w:rsidP="00315BC1"/>
    <w:p w:rsidR="00315BC1" w:rsidRDefault="00315BC1" w:rsidP="00315BC1"/>
    <w:p w:rsidR="00315BC1" w:rsidRDefault="00315BC1" w:rsidP="00315BC1"/>
    <w:p w:rsidR="00315BC1" w:rsidRPr="00DE72A2" w:rsidRDefault="00315BC1" w:rsidP="00315BC1"/>
    <w:p w:rsidR="001F42D9" w:rsidRDefault="00315BC1" w:rsidP="00315BC1">
      <w:pPr>
        <w:pStyle w:val="ActivityNumbers"/>
        <w:numPr>
          <w:ilvl w:val="0"/>
          <w:numId w:val="9"/>
        </w:numPr>
      </w:pPr>
      <w:r>
        <w:t>What limitations do ratios have in livestock production?</w:t>
      </w:r>
    </w:p>
    <w:p w:rsidR="00A35F71" w:rsidRDefault="00A35F71" w:rsidP="00315BC1">
      <w:pPr>
        <w:pStyle w:val="ActivityNumbers"/>
        <w:numPr>
          <w:ilvl w:val="0"/>
          <w:numId w:val="9"/>
        </w:numPr>
        <w:sectPr w:rsidR="00A35F71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1F42D9" w:rsidRDefault="00881359" w:rsidP="00FD7F01">
      <w:pPr>
        <w:pStyle w:val="ASAHeading"/>
      </w:pPr>
      <w:r>
        <w:rPr>
          <w:noProof/>
        </w:rPr>
        <w:lastRenderedPageBreak/>
        <w:drawing>
          <wp:inline distT="0" distB="0" distL="0" distR="0">
            <wp:extent cx="228600" cy="198120"/>
            <wp:effectExtent l="0" t="0" r="0" b="0"/>
            <wp:docPr id="6" name="Picture 6" descr="MCj029507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29507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2D9">
        <w:t xml:space="preserve"> Activity 7.2.2 Student Worksheet</w:t>
      </w:r>
    </w:p>
    <w:p w:rsidR="001F42D9" w:rsidRPr="00C059E4" w:rsidRDefault="001F42D9" w:rsidP="001F42D9"/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5"/>
        <w:gridCol w:w="2970"/>
        <w:gridCol w:w="2965"/>
      </w:tblGrid>
      <w:tr w:rsidR="001F42D9" w:rsidRPr="00D965E5" w:rsidTr="00FD7F01">
        <w:trPr>
          <w:trHeight w:val="233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42D9" w:rsidRPr="008562A9" w:rsidRDefault="001F42D9" w:rsidP="007E021D">
            <w:pPr>
              <w:rPr>
                <w:rStyle w:val="KeyTerm"/>
              </w:rPr>
            </w:pPr>
            <w:r w:rsidRPr="008562A9">
              <w:rPr>
                <w:rStyle w:val="KeyTerm"/>
              </w:rPr>
              <w:t>Table 1</w:t>
            </w:r>
            <w:r w:rsidR="00FD7F01">
              <w:rPr>
                <w:rStyle w:val="KeyTerm"/>
              </w:rPr>
              <w:t>.</w:t>
            </w:r>
            <w:r w:rsidRPr="008562A9">
              <w:rPr>
                <w:rStyle w:val="KeyTerm"/>
              </w:rPr>
              <w:t xml:space="preserve"> </w:t>
            </w:r>
            <w:r w:rsidRPr="008562A9">
              <w:rPr>
                <w:rStyle w:val="KeyTermItalic"/>
              </w:rPr>
              <w:t>Female Student Height</w:t>
            </w:r>
          </w:p>
        </w:tc>
      </w:tr>
      <w:tr w:rsidR="001F42D9" w:rsidRPr="00D965E5" w:rsidTr="00FD7F01">
        <w:trPr>
          <w:trHeight w:val="331"/>
        </w:trPr>
        <w:tc>
          <w:tcPr>
            <w:tcW w:w="48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42D9" w:rsidRPr="00D965E5" w:rsidRDefault="001F42D9" w:rsidP="007E021D">
            <w:pPr>
              <w:pStyle w:val="RubricHeadings"/>
              <w:rPr>
                <w:u w:val="single"/>
              </w:rPr>
            </w:pPr>
            <w:r>
              <w:t>Female Student Name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42D9" w:rsidRPr="00D965E5" w:rsidRDefault="001F42D9" w:rsidP="007E021D">
            <w:pPr>
              <w:pStyle w:val="RubricHeadings"/>
              <w:rPr>
                <w:u w:val="single"/>
              </w:rPr>
            </w:pPr>
            <w:r>
              <w:t>Height in Inches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42D9" w:rsidRPr="00D965E5" w:rsidRDefault="001F42D9" w:rsidP="007E021D">
            <w:pPr>
              <w:pStyle w:val="RubricHeadings"/>
              <w:rPr>
                <w:u w:val="single"/>
              </w:rPr>
            </w:pPr>
            <w:r>
              <w:t>Ratio</w:t>
            </w:r>
          </w:p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  <w:tcBorders>
              <w:bottom w:val="single" w:sz="4" w:space="0" w:color="auto"/>
            </w:tcBorders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FD7F01">
        <w:trPr>
          <w:trHeight w:val="331"/>
        </w:trPr>
        <w:tc>
          <w:tcPr>
            <w:tcW w:w="4865" w:type="dxa"/>
            <w:shd w:val="clear" w:color="auto" w:fill="E0E0E0"/>
          </w:tcPr>
          <w:p w:rsidR="001F42D9" w:rsidRPr="002D18E2" w:rsidRDefault="001F42D9" w:rsidP="00FD7F01">
            <w:pPr>
              <w:pStyle w:val="RubricHeadings"/>
            </w:pPr>
            <w:r w:rsidRPr="002D18E2">
              <w:t>Average Female Height</w:t>
            </w:r>
          </w:p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</w:tbl>
    <w:p w:rsidR="001F42D9" w:rsidRDefault="001F42D9" w:rsidP="001F42D9"/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5"/>
        <w:gridCol w:w="2970"/>
        <w:gridCol w:w="2965"/>
      </w:tblGrid>
      <w:tr w:rsidR="001F42D9" w:rsidRPr="00D965E5" w:rsidTr="00FD7F01">
        <w:trPr>
          <w:trHeight w:val="269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42D9" w:rsidRPr="008562A9" w:rsidRDefault="001F42D9" w:rsidP="007E021D">
            <w:pPr>
              <w:rPr>
                <w:rStyle w:val="KeyTerm"/>
              </w:rPr>
            </w:pPr>
            <w:r w:rsidRPr="008562A9">
              <w:rPr>
                <w:rStyle w:val="KeyTerm"/>
              </w:rPr>
              <w:t>Table 2</w:t>
            </w:r>
            <w:r w:rsidR="00FD7F01">
              <w:rPr>
                <w:rStyle w:val="KeyTerm"/>
              </w:rPr>
              <w:t>.</w:t>
            </w:r>
            <w:r w:rsidRPr="008562A9">
              <w:rPr>
                <w:rStyle w:val="KeyTerm"/>
              </w:rPr>
              <w:t xml:space="preserve"> </w:t>
            </w:r>
            <w:r w:rsidRPr="008562A9">
              <w:rPr>
                <w:rStyle w:val="KeyTermItalic"/>
              </w:rPr>
              <w:t>Male Student Height</w:t>
            </w:r>
          </w:p>
        </w:tc>
      </w:tr>
      <w:tr w:rsidR="001F42D9" w:rsidRPr="00D965E5" w:rsidTr="00E04C22">
        <w:trPr>
          <w:trHeight w:val="331"/>
        </w:trPr>
        <w:tc>
          <w:tcPr>
            <w:tcW w:w="48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42D9" w:rsidRPr="00D965E5" w:rsidRDefault="001F42D9" w:rsidP="007E021D">
            <w:pPr>
              <w:pStyle w:val="RubricHeadings"/>
              <w:rPr>
                <w:u w:val="single"/>
              </w:rPr>
            </w:pPr>
            <w:r>
              <w:t>Male Student Name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42D9" w:rsidRPr="00D965E5" w:rsidRDefault="001F42D9" w:rsidP="007E021D">
            <w:pPr>
              <w:pStyle w:val="RubricHeadings"/>
              <w:rPr>
                <w:u w:val="single"/>
              </w:rPr>
            </w:pPr>
            <w:r>
              <w:t>Height in Inches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42D9" w:rsidRPr="00D965E5" w:rsidRDefault="001F42D9" w:rsidP="007E021D">
            <w:pPr>
              <w:pStyle w:val="RubricHeadings"/>
              <w:rPr>
                <w:u w:val="single"/>
              </w:rPr>
            </w:pPr>
            <w:r>
              <w:t>Ratio</w:t>
            </w:r>
          </w:p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  <w:tcBorders>
              <w:bottom w:val="single" w:sz="4" w:space="0" w:color="auto"/>
            </w:tcBorders>
          </w:tcPr>
          <w:p w:rsidR="001F42D9" w:rsidRPr="002D18E2" w:rsidRDefault="001F42D9" w:rsidP="007E021D"/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  <w:tr w:rsidR="001F42D9" w:rsidRPr="00D965E5" w:rsidTr="00E04C22">
        <w:trPr>
          <w:trHeight w:val="331"/>
        </w:trPr>
        <w:tc>
          <w:tcPr>
            <w:tcW w:w="4865" w:type="dxa"/>
            <w:shd w:val="clear" w:color="auto" w:fill="FFFFFF" w:themeFill="background1"/>
          </w:tcPr>
          <w:p w:rsidR="001F42D9" w:rsidRPr="002D18E2" w:rsidRDefault="001F42D9" w:rsidP="00FD7F01">
            <w:pPr>
              <w:pStyle w:val="RubricHeadings"/>
            </w:pPr>
            <w:r w:rsidRPr="002D18E2">
              <w:t>Average Male Height</w:t>
            </w:r>
          </w:p>
        </w:tc>
        <w:tc>
          <w:tcPr>
            <w:tcW w:w="2970" w:type="dxa"/>
          </w:tcPr>
          <w:p w:rsidR="001F42D9" w:rsidRPr="002D18E2" w:rsidRDefault="001F42D9" w:rsidP="007E021D"/>
        </w:tc>
        <w:tc>
          <w:tcPr>
            <w:tcW w:w="2965" w:type="dxa"/>
          </w:tcPr>
          <w:p w:rsidR="001F42D9" w:rsidRPr="002D18E2" w:rsidRDefault="001F42D9" w:rsidP="007E021D"/>
        </w:tc>
      </w:tr>
    </w:tbl>
    <w:p w:rsidR="001F42D9" w:rsidRDefault="001F42D9" w:rsidP="001F42D9"/>
    <w:p w:rsidR="008D225D" w:rsidRPr="00210996" w:rsidRDefault="008D225D" w:rsidP="00E04C22">
      <w:pPr>
        <w:pStyle w:val="ActivityBodyBold"/>
      </w:pPr>
      <w:r>
        <w:t>Part One Analysis Questions</w:t>
      </w:r>
    </w:p>
    <w:p w:rsidR="00FD7F01" w:rsidRDefault="00FD7F01" w:rsidP="00FD7F01">
      <w:pPr>
        <w:pStyle w:val="Activitybullet"/>
      </w:pPr>
      <w:r w:rsidRPr="0050315B">
        <w:t>Describe how members of your class fit the descr</w:t>
      </w:r>
      <w:r>
        <w:t>iption of a contemporary group.</w:t>
      </w:r>
    </w:p>
    <w:p w:rsidR="00FD7F01" w:rsidRDefault="00FD7F01" w:rsidP="00FD7F01"/>
    <w:p w:rsidR="00FD7F01" w:rsidRDefault="00FD7F01" w:rsidP="00FD7F01"/>
    <w:p w:rsidR="000B65EB" w:rsidRDefault="00FD7F01" w:rsidP="001F42D9">
      <w:pPr>
        <w:pStyle w:val="Activitybullet"/>
      </w:pPr>
      <w:r w:rsidRPr="0050315B">
        <w:t>Describe how members of your class do not fit the descr</w:t>
      </w:r>
      <w:r>
        <w:t>iption of a contemporary group.</w:t>
      </w:r>
    </w:p>
    <w:p w:rsidR="00A35F71" w:rsidRDefault="00A35F71" w:rsidP="001F42D9">
      <w:pPr>
        <w:pStyle w:val="Activitybullet"/>
        <w:sectPr w:rsidR="00A35F71" w:rsidSect="004434D0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1F42D9" w:rsidRDefault="001F42D9" w:rsidP="000B65EB">
      <w:pPr>
        <w:pStyle w:val="Activitybulle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5"/>
        <w:gridCol w:w="2345"/>
        <w:gridCol w:w="5400"/>
      </w:tblGrid>
      <w:tr w:rsidR="000B65EB" w:rsidTr="000B65EB">
        <w:trPr>
          <w:jc w:val="center"/>
        </w:trPr>
        <w:tc>
          <w:tcPr>
            <w:tcW w:w="10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B65EB" w:rsidRPr="000B65EB" w:rsidRDefault="000B65EB" w:rsidP="000B65EB">
            <w:pPr>
              <w:rPr>
                <w:rStyle w:val="KeyTermItalic"/>
              </w:rPr>
            </w:pPr>
            <w:r>
              <w:rPr>
                <w:rStyle w:val="KeyTerm"/>
              </w:rPr>
              <w:t xml:space="preserve">Table 3. </w:t>
            </w:r>
            <w:r>
              <w:rPr>
                <w:rStyle w:val="KeyTermItalic"/>
              </w:rPr>
              <w:t>Applying Ratios</w:t>
            </w:r>
          </w:p>
        </w:tc>
      </w:tr>
      <w:tr w:rsidR="000B65EB" w:rsidTr="000B65EB">
        <w:trPr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65EB" w:rsidRDefault="000B65EB" w:rsidP="00F3334E">
            <w:pPr>
              <w:pStyle w:val="RubricHeadings"/>
            </w:pPr>
            <w:r>
              <w:t>Ram Number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65EB" w:rsidRDefault="000B65EB" w:rsidP="00F3334E">
            <w:pPr>
              <w:pStyle w:val="RubricHeadings"/>
            </w:pPr>
            <w:r>
              <w:t>90-Day Weight (lbs)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65EB" w:rsidRDefault="000B65EB" w:rsidP="00F3334E">
            <w:pPr>
              <w:pStyle w:val="RubricHeadings"/>
            </w:pPr>
            <w:r>
              <w:t>90-Day Weight Ratio</w:t>
            </w:r>
          </w:p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1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88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2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91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3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103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4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79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5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84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6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101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7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97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8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99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9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86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288"/>
          <w:jc w:val="center"/>
        </w:trPr>
        <w:tc>
          <w:tcPr>
            <w:tcW w:w="278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10</w:t>
            </w:r>
          </w:p>
        </w:tc>
        <w:tc>
          <w:tcPr>
            <w:tcW w:w="2345" w:type="dxa"/>
            <w:vAlign w:val="center"/>
          </w:tcPr>
          <w:p w:rsidR="000B65EB" w:rsidRDefault="000B65EB" w:rsidP="00F3334E">
            <w:pPr>
              <w:pStyle w:val="PictureCentered"/>
            </w:pPr>
            <w:r>
              <w:t>90</w:t>
            </w:r>
          </w:p>
        </w:tc>
        <w:tc>
          <w:tcPr>
            <w:tcW w:w="5400" w:type="dxa"/>
            <w:vAlign w:val="center"/>
          </w:tcPr>
          <w:p w:rsidR="000B65EB" w:rsidRPr="002D18E2" w:rsidRDefault="000B65EB" w:rsidP="00F3334E"/>
        </w:tc>
      </w:tr>
      <w:tr w:rsidR="000B65EB" w:rsidTr="000B65EB">
        <w:trPr>
          <w:trHeight w:val="350"/>
          <w:jc w:val="center"/>
        </w:trPr>
        <w:tc>
          <w:tcPr>
            <w:tcW w:w="2785" w:type="dxa"/>
          </w:tcPr>
          <w:p w:rsidR="000B65EB" w:rsidRDefault="000B65EB" w:rsidP="000B65EB">
            <w:pPr>
              <w:pStyle w:val="RubricHeadings"/>
            </w:pPr>
            <w:r>
              <w:t>Average</w:t>
            </w:r>
          </w:p>
        </w:tc>
        <w:tc>
          <w:tcPr>
            <w:tcW w:w="2345" w:type="dxa"/>
          </w:tcPr>
          <w:p w:rsidR="000B65EB" w:rsidRPr="002D18E2" w:rsidRDefault="000B65EB" w:rsidP="00F3334E"/>
        </w:tc>
        <w:tc>
          <w:tcPr>
            <w:tcW w:w="5400" w:type="dxa"/>
          </w:tcPr>
          <w:p w:rsidR="000B65EB" w:rsidRPr="002D18E2" w:rsidRDefault="000B65EB" w:rsidP="00F3334E"/>
        </w:tc>
      </w:tr>
    </w:tbl>
    <w:p w:rsidR="00FD7F01" w:rsidRDefault="00FD7F01" w:rsidP="00FD7F01"/>
    <w:p w:rsidR="008D225D" w:rsidRDefault="008D225D" w:rsidP="00E04C22">
      <w:pPr>
        <w:pStyle w:val="ActivityBodyBold"/>
      </w:pPr>
      <w:r>
        <w:t>Part Two Analysis Questions</w:t>
      </w:r>
    </w:p>
    <w:p w:rsidR="000B65EB" w:rsidRDefault="000B65EB" w:rsidP="000B65EB">
      <w:pPr>
        <w:pStyle w:val="Activitybullet"/>
      </w:pPr>
      <w:r>
        <w:t>If you were selecting rams to sire lambs with a high 90-day weight, based on your findings, which ram would you select?</w:t>
      </w:r>
    </w:p>
    <w:p w:rsidR="000B65EB" w:rsidRDefault="000B65EB" w:rsidP="000B65EB"/>
    <w:p w:rsidR="000B65EB" w:rsidRPr="00C059E4" w:rsidRDefault="000B65EB" w:rsidP="000B65EB"/>
    <w:p w:rsidR="000B65EB" w:rsidRDefault="000B65EB" w:rsidP="000B65EB">
      <w:pPr>
        <w:pStyle w:val="Activitybullet"/>
      </w:pPr>
      <w:r>
        <w:t>What is the average ratio for the group?</w:t>
      </w:r>
    </w:p>
    <w:p w:rsidR="000B65EB" w:rsidRDefault="000B65EB" w:rsidP="000B65EB"/>
    <w:p w:rsidR="000B65EB" w:rsidRPr="00C059E4" w:rsidRDefault="000B65EB" w:rsidP="000B65EB"/>
    <w:p w:rsidR="000B65EB" w:rsidRDefault="000B65EB" w:rsidP="000B65EB">
      <w:pPr>
        <w:pStyle w:val="Activitybullet"/>
      </w:pPr>
      <w:r>
        <w:t>How many percent difference is there between the highest performing ram and the next highest?</w:t>
      </w:r>
    </w:p>
    <w:p w:rsidR="000B65EB" w:rsidRDefault="000B65EB" w:rsidP="000B65EB"/>
    <w:p w:rsidR="000B65EB" w:rsidRPr="00C059E4" w:rsidRDefault="000B65EB" w:rsidP="000B65EB"/>
    <w:p w:rsidR="000B65EB" w:rsidRPr="00FD7F01" w:rsidRDefault="000B65EB" w:rsidP="00FD7F01">
      <w:pPr>
        <w:pStyle w:val="Activitybullet"/>
      </w:pPr>
      <w:r>
        <w:t>What is the difference in the ratios between the highest and lowest performing rams?</w:t>
      </w:r>
    </w:p>
    <w:sectPr w:rsidR="000B65EB" w:rsidRPr="00FD7F01" w:rsidSect="004434D0"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BF" w:rsidRDefault="00DB3EBF">
      <w:r>
        <w:separator/>
      </w:r>
    </w:p>
  </w:endnote>
  <w:endnote w:type="continuationSeparator" w:id="0">
    <w:p w:rsidR="00DB3EBF" w:rsidRDefault="00DB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50"/>
      <w:gridCol w:w="5850"/>
    </w:tblGrid>
    <w:tr w:rsidR="005342F1" w:rsidRPr="007F0280" w:rsidTr="00881359">
      <w:tc>
        <w:tcPr>
          <w:tcW w:w="4950" w:type="dxa"/>
          <w:shd w:val="clear" w:color="auto" w:fill="F2F2F2"/>
        </w:tcPr>
        <w:p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5850" w:type="dxa"/>
          <w:shd w:val="clear" w:color="auto" w:fill="F2F2F2"/>
        </w:tcPr>
        <w:p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="00315BC1">
            <w:t xml:space="preserve"> – Activity 7.2.2 Playing the Average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330F03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50"/>
      <w:gridCol w:w="5850"/>
    </w:tblGrid>
    <w:tr w:rsidR="003B0686" w:rsidRPr="007F0280" w:rsidTr="00881359">
      <w:tc>
        <w:tcPr>
          <w:tcW w:w="4950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5850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315BC1">
            <w:t>7.2.2 Playing the Average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330F03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BF" w:rsidRDefault="00DB3EBF">
      <w:r>
        <w:separator/>
      </w:r>
    </w:p>
  </w:footnote>
  <w:footnote w:type="continuationSeparator" w:id="0">
    <w:p w:rsidR="00DB3EBF" w:rsidRDefault="00DB3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EB" w:rsidRDefault="000B65EB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C1"/>
    <w:rsid w:val="00004D44"/>
    <w:rsid w:val="00023EF4"/>
    <w:rsid w:val="0006381D"/>
    <w:rsid w:val="000643C4"/>
    <w:rsid w:val="00095B65"/>
    <w:rsid w:val="000B65EB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42D9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15BC1"/>
    <w:rsid w:val="00330F03"/>
    <w:rsid w:val="003310C6"/>
    <w:rsid w:val="0034081A"/>
    <w:rsid w:val="00352B6E"/>
    <w:rsid w:val="003574C4"/>
    <w:rsid w:val="00384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81359"/>
    <w:rsid w:val="008955CE"/>
    <w:rsid w:val="008A3B43"/>
    <w:rsid w:val="008D1630"/>
    <w:rsid w:val="008D225D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13EC5"/>
    <w:rsid w:val="00A241A8"/>
    <w:rsid w:val="00A31333"/>
    <w:rsid w:val="00A35F71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8704B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A6F7B"/>
    <w:rsid w:val="00DB3EBF"/>
    <w:rsid w:val="00DC3376"/>
    <w:rsid w:val="00DE2030"/>
    <w:rsid w:val="00DE2572"/>
    <w:rsid w:val="00E02AFD"/>
    <w:rsid w:val="00E03370"/>
    <w:rsid w:val="00E04C22"/>
    <w:rsid w:val="00E0723A"/>
    <w:rsid w:val="00E33390"/>
    <w:rsid w:val="00E430F2"/>
    <w:rsid w:val="00E434AA"/>
    <w:rsid w:val="00E53F98"/>
    <w:rsid w:val="00E56BAB"/>
    <w:rsid w:val="00E65C9D"/>
    <w:rsid w:val="00E70B1A"/>
    <w:rsid w:val="00E71418"/>
    <w:rsid w:val="00E821B9"/>
    <w:rsid w:val="00E83AB6"/>
    <w:rsid w:val="00EA79C1"/>
    <w:rsid w:val="00EC4D87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D7F01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04D478-B6AD-40A3-B0BD-4DFCE8F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881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4</Pages>
  <Words>651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7.2.2 Playing the Average</vt:lpstr>
    </vt:vector>
  </TitlesOfParts>
  <Manager>Dan Jansen</Manager>
  <Company>Curriculum for Agricultural Science Education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7.2.2 Playing the Average</dc:title>
  <dc:subject>ASA - Unit 7 - Lesson 7.2 Predicting Genetic Inheiritance</dc:subject>
  <dc:creator>Bob Mikesell and Marlene Mensch</dc:creator>
  <cp:keywords/>
  <dc:description/>
  <cp:lastModifiedBy>Leslie Fairchild</cp:lastModifiedBy>
  <cp:revision>2</cp:revision>
  <cp:lastPrinted>2014-03-03T20:17:00Z</cp:lastPrinted>
  <dcterms:created xsi:type="dcterms:W3CDTF">2015-04-13T17:37:00Z</dcterms:created>
  <dcterms:modified xsi:type="dcterms:W3CDTF">2015-04-13T17:37:00Z</dcterms:modified>
</cp:coreProperties>
</file>