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widowControl w:val="0"/>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0"/>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widowControl w:val="0"/>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widowControl w:val="0"/>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Domestic Violence During Pregnancy: Evidence-Based Practice in Nursing</w:t>
      </w:r>
    </w:p>
    <w:p w:rsidR="00000000" w:rsidDel="00000000" w:rsidP="00000000" w:rsidRDefault="00000000" w:rsidRPr="00000000" w14:paraId="00000006">
      <w:pPr>
        <w:widowControl w:val="0"/>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widowControl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Sydney Auen</w:t>
      </w:r>
    </w:p>
    <w:p w:rsidR="00000000" w:rsidDel="00000000" w:rsidP="00000000" w:rsidRDefault="00000000" w:rsidRPr="00000000" w14:paraId="00000008">
      <w:pPr>
        <w:widowControl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Margaret H. Rollins School of Nursing</w:t>
      </w:r>
    </w:p>
    <w:p w:rsidR="00000000" w:rsidDel="00000000" w:rsidP="00000000" w:rsidRDefault="00000000" w:rsidRPr="00000000" w14:paraId="00000009">
      <w:pPr>
        <w:widowControl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N201: Nursing Care of Special Populations</w:t>
      </w:r>
    </w:p>
    <w:p w:rsidR="00000000" w:rsidDel="00000000" w:rsidP="00000000" w:rsidRDefault="00000000" w:rsidRPr="00000000" w14:paraId="0000000A">
      <w:pPr>
        <w:widowControl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Blankenship, RN</w:t>
      </w:r>
      <w:r w:rsidDel="00000000" w:rsidR="00000000" w:rsidRPr="00000000">
        <w:rPr>
          <w:rtl w:val="0"/>
        </w:rPr>
      </w:r>
    </w:p>
    <w:p w:rsidR="00000000" w:rsidDel="00000000" w:rsidP="00000000" w:rsidRDefault="00000000" w:rsidRPr="00000000" w14:paraId="0000000B">
      <w:pPr>
        <w:widowControl w:val="0"/>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6, 2023</w:t>
      </w:r>
    </w:p>
    <w:p w:rsidR="00000000" w:rsidDel="00000000" w:rsidP="00000000" w:rsidRDefault="00000000" w:rsidRPr="00000000" w14:paraId="0000000C">
      <w:pPr>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line="48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Domestic Violence During Pregnancy: Evidence-Based Practice in Nursing</w:t>
      </w:r>
      <w:r w:rsidDel="00000000" w:rsidR="00000000" w:rsidRPr="00000000">
        <w:rPr>
          <w:rtl w:val="0"/>
        </w:rPr>
      </w:r>
    </w:p>
    <w:p w:rsidR="00000000" w:rsidDel="00000000" w:rsidP="00000000" w:rsidRDefault="00000000" w:rsidRPr="00000000" w14:paraId="00000019">
      <w:pPr>
        <w:widowControl w:val="0"/>
        <w:spacing w:line="480" w:lineRule="auto"/>
        <w:ind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Domestic violence during pregnancy is a deeply troubling and widespread issue with severe consequences for both the pregnant individual and the unborn child. It refers to any pattern of abusive behavior, such as </w:t>
      </w:r>
      <w:r w:rsidDel="00000000" w:rsidR="00000000" w:rsidRPr="00000000">
        <w:rPr>
          <w:rFonts w:ascii="Times New Roman" w:cs="Times New Roman" w:eastAsia="Times New Roman" w:hAnsi="Times New Roman"/>
          <w:sz w:val="24"/>
          <w:szCs w:val="24"/>
          <w:rtl w:val="0"/>
        </w:rPr>
        <w:t xml:space="preserve">physical, emotional, psychological, or sexual</w:t>
      </w:r>
      <w:r w:rsidDel="00000000" w:rsidR="00000000" w:rsidRPr="00000000">
        <w:rPr>
          <w:rFonts w:ascii="Times New Roman" w:cs="Times New Roman" w:eastAsia="Times New Roman" w:hAnsi="Times New Roman"/>
          <w:sz w:val="24"/>
          <w:szCs w:val="24"/>
          <w:rtl w:val="0"/>
        </w:rPr>
        <w:t xml:space="preserve"> abuse from an intimate partner during pregnancy. This form of violence poses significant risks to the well-being of both the mother and the developing fetus. Understanding the dynamics and implications of domestic violence during pregnancy is crucial for healthcare professionals, and nurses may be the first, and only, point of contact for these suffering women (Aljomaie et al., 2022). It is important to be able to identify and intervene with women who are experiencing hardship throughout their pregnancy, especially abuse, as it is going to impact both the mom and her growing fetus greatly. Included here will be an overview of domestic violence during pregnancy and its significance, along with the impact of evidence-based research on nursing practice and patient care.</w:t>
      </w:r>
      <w:r w:rsidDel="00000000" w:rsidR="00000000" w:rsidRPr="00000000">
        <w:rPr>
          <w:rtl w:val="0"/>
        </w:rPr>
      </w:r>
    </w:p>
    <w:p w:rsidR="00000000" w:rsidDel="00000000" w:rsidP="00000000" w:rsidRDefault="00000000" w:rsidRPr="00000000" w14:paraId="0000001A">
      <w:pPr>
        <w:widowControl w:val="0"/>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Da Thi Tran et al. (2022), the most common form of violence against women is intimate partner violence, otherwise known as domestic violence. It is crucial to note that domestic violence can affect anyone, regardless of gender or age; however, there are specific components that can increase the risk for intimate partner violence, </w:t>
      </w:r>
      <w:r w:rsidDel="00000000" w:rsidR="00000000" w:rsidRPr="00000000">
        <w:rPr>
          <w:rFonts w:ascii="Times New Roman" w:cs="Times New Roman" w:eastAsia="Times New Roman" w:hAnsi="Times New Roman"/>
          <w:sz w:val="24"/>
          <w:szCs w:val="24"/>
          <w:rtl w:val="0"/>
        </w:rPr>
        <w:t xml:space="preserve">including</w:t>
      </w:r>
      <w:r w:rsidDel="00000000" w:rsidR="00000000" w:rsidRPr="00000000">
        <w:rPr>
          <w:rFonts w:ascii="Times New Roman" w:cs="Times New Roman" w:eastAsia="Times New Roman" w:hAnsi="Times New Roman"/>
          <w:sz w:val="24"/>
          <w:szCs w:val="24"/>
          <w:rtl w:val="0"/>
        </w:rPr>
        <w:t xml:space="preserve"> individual, relationship, community, and societal factors (Centers for Disease Control [CDC], 2021). One risk factor for domestic violence is pregnancy, which can act as a catalyst for abusive behavior as a consequence of the intimate partner’s increase in stress, jealousy, or a desire to gain control over the pregnant person. </w:t>
      </w:r>
      <w:r w:rsidDel="00000000" w:rsidR="00000000" w:rsidRPr="00000000">
        <w:rPr>
          <w:rFonts w:ascii="Times New Roman" w:cs="Times New Roman" w:eastAsia="Times New Roman" w:hAnsi="Times New Roman"/>
          <w:sz w:val="24"/>
          <w:szCs w:val="24"/>
          <w:rtl w:val="0"/>
        </w:rPr>
        <w:t xml:space="preserve">If domestic violence occurs during gestation, there are significant consequences involving both the immediate and long-term health of mothers and their unborn children. </w:t>
      </w:r>
    </w:p>
    <w:p w:rsidR="00000000" w:rsidDel="00000000" w:rsidP="00000000" w:rsidRDefault="00000000" w:rsidRPr="00000000" w14:paraId="0000001B">
      <w:pPr>
        <w:widowControl w:val="0"/>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Maternal exposure to domestic violence can impact physical and emotional health. Abuse during gestation can precipitate a risk for postpartum hemorrhage and preterm delivery, which will put both the mother and the child at risk for mortality (Da Thi Tran et al., 2022). Along with physical risks, there are also mental effects such as an increased risk of depression, anxiety, post-traumatic stress disorder (PTSD), and adjustment or somatic disorders (Da Thi Tran et al., 2022). These women can also suffer from low self-esteem due to verbal and emotional abuse from continuous insults, disregard of women’s emotions, inequalities of social and economic status, loss of freedom, and dictatorial behavior from their spouses (Dinmohammadi et al., 2021). The low self-esteem and diminished sense of agency that occurs will impede the process of seeking help while in an abusive relationship.</w:t>
      </w:r>
    </w:p>
    <w:p w:rsidR="00000000" w:rsidDel="00000000" w:rsidP="00000000" w:rsidRDefault="00000000" w:rsidRPr="00000000" w14:paraId="0000001C">
      <w:pPr>
        <w:widowControl w:val="0"/>
        <w:spacing w:line="480" w:lineRule="auto"/>
        <w:ind w:firstLine="72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 the mother’s stress level increases from the pregnancy, along with being a victim of domestic violence and not seeking help, her stress hormones including epinephrine, cortisol, and norepinephrine, will begin to rise as well. These hormones can all cross the placenta, therefore causing a reaction in the fetus. When these hormones reach the fetus during gestation, there may be an impact on the behavioral and emotional development of the child throughout life (Da Thi Tran et al., 2022). In addition to long-term effects, the fetus may suffer from an intrauterine growth restriction during gestation, preterm birth, and low birth weight, all of which can cause several complications including death of the fetus. As the child progresses through life, they may show signs of trauma, including eating problems, sleep disturbances, higher irritability, and delays in development (Da Thi Tran et al., 2022). Even if the mother was only being actively abused during pregnancy and the child was not a direct victim, they will deal with the consequences their entire life. </w:t>
      </w:r>
      <w:r w:rsidDel="00000000" w:rsidR="00000000" w:rsidRPr="00000000">
        <w:rPr>
          <w:rtl w:val="0"/>
        </w:rPr>
      </w:r>
    </w:p>
    <w:p w:rsidR="00000000" w:rsidDel="00000000" w:rsidP="00000000" w:rsidRDefault="00000000" w:rsidRPr="00000000" w14:paraId="0000001D">
      <w:pPr>
        <w:widowControl w:val="0"/>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Domestic violence in the antenatal period is sadly prevalent and occurs across all socioeconomic, cultural, and demographic groups. While precise numbers can be challenging to determine due to underreporting and cultural factors, according to Sapkota et al. (2019), 1in 3 women will suffer from domestic violence during their lives. It is estimated that about 1% to 28% of pregnant women are victims of domestic violence, mostly between the range of 4% and 12% (Arora et al., 2019). Even with the high prevalence rate, many women leave their experiences unreported due to barriers to seeking help (Papas et al., 2023). Some barriers to seeking help can include isolation, fear of retaliation, </w:t>
      </w:r>
      <w:r w:rsidDel="00000000" w:rsidR="00000000" w:rsidRPr="00000000">
        <w:rPr>
          <w:rFonts w:ascii="Times New Roman" w:cs="Times New Roman" w:eastAsia="Times New Roman" w:hAnsi="Times New Roman"/>
          <w:sz w:val="24"/>
          <w:szCs w:val="24"/>
          <w:rtl w:val="0"/>
        </w:rPr>
        <w:t xml:space="preserve">and financial dependency on the abuser. This will leave the victim to suffer in silence, which may precipitate fatal injury or illness to either the victim or the abuser (Papas et al., 2023). </w:t>
      </w:r>
    </w:p>
    <w:p w:rsidR="00000000" w:rsidDel="00000000" w:rsidP="00000000" w:rsidRDefault="00000000" w:rsidRPr="00000000" w14:paraId="0000001E">
      <w:pPr>
        <w:widowControl w:val="0"/>
        <w:spacing w:line="480" w:lineRule="auto"/>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As the statistics related to domestic violence rise it is important to understand how to identify and intervene with this form of violence. Understanding the unique challenges posed by domestic violence during pregnancy is important in ensuring the safety and well-being of both the mother and the unborn child. One crucial part of this is evidence-based research, which plays an important role in nursing practice and patient care related to domestic violence during pregnancy. Evidence-based practice utilizes current information, such as patient preference, up-to-date research, and clinical expertise to provide the best quality care. Healthcare professionals need to understand the previous and current standards of care to ensure the patient is getting the best possible care. Domestic violence screening in the past was far less extensive as compared to the current standards. For example, women will get screened throughout their pregnancy at their prenatal visits and will continue to be screened during the postpartum period at the child's well visits. </w:t>
      </w:r>
      <w:r w:rsidDel="00000000" w:rsidR="00000000" w:rsidRPr="00000000">
        <w:rPr>
          <w:rtl w:val="0"/>
        </w:rPr>
      </w:r>
    </w:p>
    <w:p w:rsidR="00000000" w:rsidDel="00000000" w:rsidP="00000000" w:rsidRDefault="00000000" w:rsidRPr="00000000" w14:paraId="0000001F">
      <w:pPr>
        <w:widowControl w:val="0"/>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mentioned, pregnancy leaves the woman more vulnerable to abuse; however, this is a unique opportunity as the mother is having repeated interactions with healthcare providers from early pregnancy to the postpartum stage, where support should be established (Sapkota et al., 2019). During these visits, the nurses, and all other healthcare workers, should be screening patients and looking for characteristics that could indicate any form of domestic violence. Characteristics including bruising at different stages of healing</w:t>
      </w:r>
      <w:r w:rsidDel="00000000" w:rsidR="00000000" w:rsidRPr="00000000">
        <w:rPr>
          <w:rFonts w:ascii="Times New Roman" w:cs="Times New Roman" w:eastAsia="Times New Roman" w:hAnsi="Times New Roman"/>
          <w:sz w:val="24"/>
          <w:szCs w:val="24"/>
          <w:rtl w:val="0"/>
        </w:rPr>
        <w:t xml:space="preserve">, nervousness or fear around their partner, and making a multitude of excuses for injuries, could indicate that an individual is a victim of intimate partner violence. During prenatal visits, different screening tools can assess intimate partner violence. Some examples of screening tools are the Hurt Insult </w:t>
      </w:r>
      <w:r w:rsidDel="00000000" w:rsidR="00000000" w:rsidRPr="00000000">
        <w:rPr>
          <w:rFonts w:ascii="Times New Roman" w:cs="Times New Roman" w:eastAsia="Times New Roman" w:hAnsi="Times New Roman"/>
          <w:sz w:val="24"/>
          <w:szCs w:val="24"/>
          <w:rtl w:val="0"/>
        </w:rPr>
        <w:t xml:space="preserve">Threat</w:t>
      </w:r>
      <w:r w:rsidDel="00000000" w:rsidR="00000000" w:rsidRPr="00000000">
        <w:rPr>
          <w:rFonts w:ascii="Times New Roman" w:cs="Times New Roman" w:eastAsia="Times New Roman" w:hAnsi="Times New Roman"/>
          <w:sz w:val="24"/>
          <w:szCs w:val="24"/>
          <w:rtl w:val="0"/>
        </w:rPr>
        <w:t xml:space="preserve"> Scream (HITS) tool (Arora et al., 2019),  (Women Abuse Screening Tool-Short (WAST-Short), and the Abuse Assessment Screen (AAS) (Zapata-Calvente et al., 2022). Zapata-Calvente did a study in 2022 that compared these two screening tools to determine if they were effective and accurate when detecting victims of intimate partner violence. The study concluded that both screening tools were effective in the first trimester; however, the WAST-Short screening tool was more effective during the third trimester of pregnancy when compared to the AAS (Zapata-Calvente et al., 2022). </w:t>
      </w:r>
    </w:p>
    <w:p w:rsidR="00000000" w:rsidDel="00000000" w:rsidP="00000000" w:rsidRDefault="00000000" w:rsidRPr="00000000" w14:paraId="00000020">
      <w:pPr>
        <w:widowControl w:val="0"/>
        <w:spacing w:line="480" w:lineRule="auto"/>
        <w:ind w:firstLine="72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Once the nurse, or healthcare provider, is aware of the abuse, some steps need to be taken to protect the mother and her growing fetus. According to Sapkota et al. (2019), the pregnant woman will be more inclined to take action for herself and her fetus if she is aware of the physical, mental, and social consequences that will occur as a result of intimate partner violence. After awareness is established, there are several opportunities for the mother to get help, including support groups, cognitive behavioral therapy (CBT), and contacts to reach out to when imminent help is needed. Support groups will aid in creating an environment of comfort and stability to help motivate the mother to seek changes needed for herself and her baby. Affected mothers will be able to have a safe space where survivors can share experiences, gain emotional support, and learn coping strategies. In addition to support groups, CBT is a form of psychological therapy that helps to change ways of thought and behavior. Sapkota et al. (2019) suggest CBT will enhance decision-making and problem-solving, which will assist the victim in conflict resolution and communication skills.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Along with interventions for the mother, there are also steps the healthcare professionals can take to encourage the mother to regain control of her life, such as empowering the woman and giving her vital resources to help her succeed. According to Arora et al. (2019), empowerment counseling was shown to reduce violence, improve health, and increase the use of safety measures carried out by women. Along with empowering the pregnant woman, it is also important to give her the information she needs to succeed, even while she is not in the office or a medical facility. Some of the resources that will benefit the pregnant mother include support groups, CBT, the National Domestic Violence Hotline, legal and protective services, and simple education to understand the intricacies of domestic violence during pregnancy to address the issue effectively. </w:t>
      </w:r>
      <w:r w:rsidDel="00000000" w:rsidR="00000000" w:rsidRPr="00000000">
        <w:rPr>
          <w:rtl w:val="0"/>
        </w:rPr>
      </w:r>
    </w:p>
    <w:p w:rsidR="00000000" w:rsidDel="00000000" w:rsidP="00000000" w:rsidRDefault="00000000" w:rsidRPr="00000000" w14:paraId="00000021">
      <w:pPr>
        <w:widowControl w:val="0"/>
        <w:spacing w:line="480" w:lineRule="auto"/>
        <w:ind w:firstLine="72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tl w:val="0"/>
        </w:rPr>
        <w:t xml:space="preserve">The nurse must understand how to identify and intervene in situations involving domestic violence victims, including a mother and her growing fetus. It is a nurse’s job to care for their patient holistically, meaning caring for the patient as a whole, considering their physical, psychological, emotional, and spiritual preferences. This is important to remember because not everyone is the same, therefore, everyone is going to respond differently when receiving help. Also, it is important to understand the risk factors and causes of the violence to be able to break the cycle of abuse and ensure the woman and her fetus are safe and will continue to be when not in the direct care of nurses 24/7. </w:t>
      </w:r>
      <w:r w:rsidDel="00000000" w:rsidR="00000000" w:rsidRPr="00000000">
        <w:rPr>
          <w:rtl w:val="0"/>
        </w:rPr>
      </w:r>
    </w:p>
    <w:p w:rsidR="00000000" w:rsidDel="00000000" w:rsidP="00000000" w:rsidRDefault="00000000" w:rsidRPr="00000000" w14:paraId="00000022">
      <w:pPr>
        <w:widowControl w:val="0"/>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Overall, domestic violence is a very serious and detrimental problem that occurs globally. Abuse during the antenatal period will put the mother and the fetus at risk of harm and could ultimately lead to death. With this, domestic violence must be ultimately prevented. However, if a woman is being abused during her pregnancy, these victims must be noticed and given support and the help they need to protect themselves and their children. Nurses are greatly involved with the woman during the antenatal period, so the best witness of abuse would be the nurse or healthcare provider. With the research that has already been completed along with the research that is to come, nurses are taking a larger role in preventing domestic violence before it even occurs. If it does occur, nurses are equipped to recognize and react to these situations to make sure the patients are safe. Evidence-based practice is never ending, Aljomaie et al. (2022) suggest there is a need for bettering the education that nurses are provided before working. If nurses were better equipped, they would be able to better detect victims and respond efficiently to enhance the safety of both the mother and her fetus. As researchers and healthcare professionals move forward with their careers, they are also performing studies and reviewing information to make sure the care provided is of the best quality. This is why evidence-based practice is so important, both to the nursing staff and the patients they are caring for.</w:t>
      </w:r>
    </w:p>
    <w:p w:rsidR="00000000" w:rsidDel="00000000" w:rsidP="00000000" w:rsidRDefault="00000000" w:rsidRPr="00000000" w14:paraId="00000023">
      <w:pPr>
        <w:widowControl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2D">
      <w:pPr>
        <w:widowControl w:val="0"/>
        <w:spacing w:after="240" w:before="24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Aljomaie, H. A., Hollingdrake, O., Cruz, A. A., &amp; Currie, J. (2022). A scoping review of the healthcare provided by nurses to people experiencing domestic violence in primary health care settings. </w:t>
      </w:r>
      <w:r w:rsidDel="00000000" w:rsidR="00000000" w:rsidRPr="00000000">
        <w:rPr>
          <w:rFonts w:ascii="Times New Roman" w:cs="Times New Roman" w:eastAsia="Times New Roman" w:hAnsi="Times New Roman"/>
          <w:i w:val="1"/>
          <w:sz w:val="24"/>
          <w:szCs w:val="24"/>
          <w:rtl w:val="0"/>
        </w:rPr>
        <w:t xml:space="preserve">International Journal of Nursing Studies Advances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Article</w:t>
      </w:r>
      <w:r w:rsidDel="00000000" w:rsidR="00000000" w:rsidRPr="00000000">
        <w:rPr>
          <w:rFonts w:ascii="Times New Roman" w:cs="Times New Roman" w:eastAsia="Times New Roman" w:hAnsi="Times New Roman"/>
          <w:sz w:val="24"/>
          <w:szCs w:val="24"/>
          <w:rtl w:val="0"/>
        </w:rPr>
        <w:t xml:space="preserve"> 100068.</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https://doi.org/10.1016/j.ijnsa.2022.100068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widowControl w:val="0"/>
        <w:spacing w:after="240" w:before="240" w:line="480" w:lineRule="auto"/>
        <w:ind w:left="720"/>
        <w:rPr>
          <w:rFonts w:ascii="Times New Roman" w:cs="Times New Roman" w:eastAsia="Times New Roman" w:hAnsi="Times New Roman"/>
          <w:color w:val="6aa84f"/>
          <w:sz w:val="24"/>
          <w:szCs w:val="24"/>
        </w:rPr>
      </w:pPr>
      <w:r w:rsidDel="00000000" w:rsidR="00000000" w:rsidRPr="00000000">
        <w:rPr>
          <w:rFonts w:ascii="Times New Roman" w:cs="Times New Roman" w:eastAsia="Times New Roman" w:hAnsi="Times New Roman"/>
          <w:color w:val="212121"/>
          <w:sz w:val="24"/>
          <w:szCs w:val="24"/>
          <w:rtl w:val="0"/>
        </w:rPr>
        <w:t xml:space="preserve">Arora, S., Deosthali, P. B., &amp; Rege, S. (2019). Effectiveness of a </w:t>
      </w:r>
      <w:r w:rsidDel="00000000" w:rsidR="00000000" w:rsidRPr="00000000">
        <w:rPr>
          <w:rFonts w:ascii="Times New Roman" w:cs="Times New Roman" w:eastAsia="Times New Roman" w:hAnsi="Times New Roman"/>
          <w:color w:val="212121"/>
          <w:sz w:val="24"/>
          <w:szCs w:val="24"/>
          <w:rtl w:val="0"/>
        </w:rPr>
        <w:t xml:space="preserve">counselling</w:t>
      </w:r>
      <w:r w:rsidDel="00000000" w:rsidR="00000000" w:rsidRPr="00000000">
        <w:rPr>
          <w:rFonts w:ascii="Times New Roman" w:cs="Times New Roman" w:eastAsia="Times New Roman" w:hAnsi="Times New Roman"/>
          <w:color w:val="212121"/>
          <w:sz w:val="24"/>
          <w:szCs w:val="24"/>
          <w:rtl w:val="0"/>
        </w:rPr>
        <w:t xml:space="preserve"> intervention implemented </w:t>
      </w:r>
      <w:r w:rsidDel="00000000" w:rsidR="00000000" w:rsidRPr="00000000">
        <w:rPr>
          <w:rFonts w:ascii="Times New Roman" w:cs="Times New Roman" w:eastAsia="Times New Roman" w:hAnsi="Times New Roman"/>
          <w:color w:val="212121"/>
          <w:sz w:val="24"/>
          <w:szCs w:val="24"/>
          <w:rtl w:val="0"/>
        </w:rPr>
        <w:t xml:space="preserve">in antenatal</w:t>
      </w:r>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Fonts w:ascii="Times New Roman" w:cs="Times New Roman" w:eastAsia="Times New Roman" w:hAnsi="Times New Roman"/>
          <w:color w:val="212121"/>
          <w:sz w:val="24"/>
          <w:szCs w:val="24"/>
          <w:rtl w:val="0"/>
        </w:rPr>
        <w:t xml:space="preserve">setting</w:t>
      </w:r>
      <w:r w:rsidDel="00000000" w:rsidR="00000000" w:rsidRPr="00000000">
        <w:rPr>
          <w:rFonts w:ascii="Times New Roman" w:cs="Times New Roman" w:eastAsia="Times New Roman" w:hAnsi="Times New Roman"/>
          <w:color w:val="212121"/>
          <w:sz w:val="24"/>
          <w:szCs w:val="24"/>
          <w:rtl w:val="0"/>
        </w:rPr>
        <w:t xml:space="preserve"> for pregnant women facing domestic violence: A pre-experimental study. </w:t>
      </w:r>
      <w:r w:rsidDel="00000000" w:rsidR="00000000" w:rsidRPr="00000000">
        <w:rPr>
          <w:rFonts w:ascii="Times New Roman" w:cs="Times New Roman" w:eastAsia="Times New Roman" w:hAnsi="Times New Roman"/>
          <w:i w:val="1"/>
          <w:color w:val="212121"/>
          <w:sz w:val="24"/>
          <w:szCs w:val="24"/>
          <w:rtl w:val="0"/>
        </w:rPr>
        <w:t xml:space="preserve">BJOG: An International Journal of Obstetrics and G</w:t>
      </w:r>
      <w:r w:rsidDel="00000000" w:rsidR="00000000" w:rsidRPr="00000000">
        <w:rPr>
          <w:rFonts w:ascii="Times New Roman" w:cs="Times New Roman" w:eastAsia="Times New Roman" w:hAnsi="Times New Roman"/>
          <w:i w:val="1"/>
          <w:color w:val="212121"/>
          <w:sz w:val="24"/>
          <w:szCs w:val="24"/>
          <w:rtl w:val="0"/>
        </w:rPr>
        <w:t xml:space="preserve">ynaecology</w:t>
      </w:r>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Fonts w:ascii="Times New Roman" w:cs="Times New Roman" w:eastAsia="Times New Roman" w:hAnsi="Times New Roman"/>
          <w:i w:val="1"/>
          <w:color w:val="212121"/>
          <w:sz w:val="24"/>
          <w:szCs w:val="24"/>
          <w:rtl w:val="0"/>
        </w:rPr>
        <w:t xml:space="preserve">126</w:t>
      </w:r>
      <w:r w:rsidDel="00000000" w:rsidR="00000000" w:rsidRPr="00000000">
        <w:rPr>
          <w:rFonts w:ascii="Times New Roman" w:cs="Times New Roman" w:eastAsia="Times New Roman" w:hAnsi="Times New Roman"/>
          <w:color w:val="212121"/>
          <w:sz w:val="24"/>
          <w:szCs w:val="24"/>
          <w:rtl w:val="0"/>
        </w:rPr>
        <w:t xml:space="preserve">(S4)</w:t>
      </w:r>
      <w:r w:rsidDel="00000000" w:rsidR="00000000" w:rsidRPr="00000000">
        <w:rPr>
          <w:rFonts w:ascii="Times New Roman" w:cs="Times New Roman" w:eastAsia="Times New Roman" w:hAnsi="Times New Roman"/>
          <w:color w:val="212121"/>
          <w:sz w:val="24"/>
          <w:szCs w:val="24"/>
          <w:rtl w:val="0"/>
        </w:rPr>
        <w:t xml:space="preserve">, 50–57. </w:t>
      </w:r>
      <w:hyperlink r:id="rId7">
        <w:r w:rsidDel="00000000" w:rsidR="00000000" w:rsidRPr="00000000">
          <w:rPr>
            <w:rFonts w:ascii="Times New Roman" w:cs="Times New Roman" w:eastAsia="Times New Roman" w:hAnsi="Times New Roman"/>
            <w:color w:val="1155cc"/>
            <w:sz w:val="24"/>
            <w:szCs w:val="24"/>
            <w:u w:val="single"/>
            <w:rtl w:val="0"/>
          </w:rPr>
          <w:t xml:space="preserve">https://doi.org/10.1111/1471-0528.15846</w:t>
        </w:r>
      </w:hyperlink>
      <w:r w:rsidDel="00000000" w:rsidR="00000000" w:rsidRPr="00000000">
        <w:rPr>
          <w:rtl w:val="0"/>
        </w:rPr>
      </w:r>
    </w:p>
    <w:p w:rsidR="00000000" w:rsidDel="00000000" w:rsidP="00000000" w:rsidRDefault="00000000" w:rsidRPr="00000000" w14:paraId="0000002F">
      <w:pPr>
        <w:widowControl w:val="0"/>
        <w:spacing w:after="240" w:before="24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(2021, November 2). </w:t>
      </w:r>
      <w:r w:rsidDel="00000000" w:rsidR="00000000" w:rsidRPr="00000000">
        <w:rPr>
          <w:rFonts w:ascii="Times New Roman" w:cs="Times New Roman" w:eastAsia="Times New Roman" w:hAnsi="Times New Roman"/>
          <w:i w:val="1"/>
          <w:sz w:val="24"/>
          <w:szCs w:val="24"/>
          <w:rtl w:val="0"/>
        </w:rPr>
        <w:t xml:space="preserve">Risk and Protective Factors for Perpetration</w:t>
      </w:r>
      <w:r w:rsidDel="00000000" w:rsidR="00000000" w:rsidRPr="00000000">
        <w:rPr>
          <w:rFonts w:ascii="Times New Roman" w:cs="Times New Roman" w:eastAsia="Times New Roman" w:hAnsi="Times New Roman"/>
          <w:sz w:val="24"/>
          <w:szCs w:val="24"/>
          <w:rtl w:val="0"/>
        </w:rPr>
        <w:t xml:space="preserve">. U.S. Department of Health and Social Services. </w:t>
      </w:r>
      <w:hyperlink r:id="rId8">
        <w:r w:rsidDel="00000000" w:rsidR="00000000" w:rsidRPr="00000000">
          <w:rPr>
            <w:rFonts w:ascii="Times New Roman" w:cs="Times New Roman" w:eastAsia="Times New Roman" w:hAnsi="Times New Roman"/>
            <w:color w:val="1155cc"/>
            <w:sz w:val="24"/>
            <w:szCs w:val="24"/>
            <w:u w:val="single"/>
            <w:rtl w:val="0"/>
          </w:rPr>
          <w:t xml:space="preserve">https://www.cdc.gov/violenceprevention/intimatepartnerviolence/riskprotectivefactors.html</w:t>
        </w:r>
      </w:hyperlink>
      <w:r w:rsidDel="00000000" w:rsidR="00000000" w:rsidRPr="00000000">
        <w:rPr>
          <w:rtl w:val="0"/>
        </w:rPr>
      </w:r>
    </w:p>
    <w:p w:rsidR="00000000" w:rsidDel="00000000" w:rsidP="00000000" w:rsidRDefault="00000000" w:rsidRPr="00000000" w14:paraId="00000030">
      <w:pPr>
        <w:widowControl w:val="0"/>
        <w:spacing w:after="240" w:before="240" w:line="480" w:lineRule="auto"/>
        <w:ind w:left="720" w:hanging="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212121"/>
          <w:sz w:val="24"/>
          <w:szCs w:val="24"/>
          <w:rtl w:val="0"/>
        </w:rPr>
        <w:t xml:space="preserve">Da Thi Tran, T., Murray, L., &amp; Van Vo, T. (2022). Intimate partner violence during pregnancy and maternal and child health outcomes: A scoping review of the literature from low-and-middle income countries from 2016 - 2021. </w:t>
      </w:r>
      <w:r w:rsidDel="00000000" w:rsidR="00000000" w:rsidRPr="00000000">
        <w:rPr>
          <w:rFonts w:ascii="Times New Roman" w:cs="Times New Roman" w:eastAsia="Times New Roman" w:hAnsi="Times New Roman"/>
          <w:i w:val="1"/>
          <w:color w:val="212121"/>
          <w:sz w:val="24"/>
          <w:szCs w:val="24"/>
          <w:rtl w:val="0"/>
        </w:rPr>
        <w:t xml:space="preserve">BMC Pregnancy and Childbirth</w:t>
      </w:r>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Fonts w:ascii="Times New Roman" w:cs="Times New Roman" w:eastAsia="Times New Roman" w:hAnsi="Times New Roman"/>
          <w:i w:val="1"/>
          <w:color w:val="212121"/>
          <w:sz w:val="24"/>
          <w:szCs w:val="24"/>
          <w:rtl w:val="0"/>
        </w:rPr>
        <w:t xml:space="preserve">22</w:t>
      </w:r>
      <w:r w:rsidDel="00000000" w:rsidR="00000000" w:rsidRPr="00000000">
        <w:rPr>
          <w:rFonts w:ascii="Times New Roman" w:cs="Times New Roman" w:eastAsia="Times New Roman" w:hAnsi="Times New Roman"/>
          <w:color w:val="212121"/>
          <w:sz w:val="24"/>
          <w:szCs w:val="24"/>
          <w:rtl w:val="0"/>
        </w:rPr>
        <w:t xml:space="preserve">(1), 315.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https://doi.org/10.1186/s12884-022-04604-3</w:t>
        </w:r>
      </w:hyperlink>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tl w:val="0"/>
        </w:rPr>
      </w:r>
    </w:p>
    <w:p w:rsidR="00000000" w:rsidDel="00000000" w:rsidP="00000000" w:rsidRDefault="00000000" w:rsidRPr="00000000" w14:paraId="00000031">
      <w:pPr>
        <w:widowControl w:val="0"/>
        <w:spacing w:after="240" w:before="240" w:line="480" w:lineRule="auto"/>
        <w:ind w:left="720" w:hanging="72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Dinmohammadi, S., Dadashi, M., Ahmadnia, E., Janani, L., &amp; Kharaghani, R. (2021). The effect of solution-focused counseling on violence rate and quality of life of pregnant women at risk of domestic violence: A randomized controlled trial. </w:t>
      </w:r>
      <w:r w:rsidDel="00000000" w:rsidR="00000000" w:rsidRPr="00000000">
        <w:rPr>
          <w:rFonts w:ascii="Times New Roman" w:cs="Times New Roman" w:eastAsia="Times New Roman" w:hAnsi="Times New Roman"/>
          <w:i w:val="1"/>
          <w:color w:val="212121"/>
          <w:sz w:val="24"/>
          <w:szCs w:val="24"/>
          <w:rtl w:val="0"/>
        </w:rPr>
        <w:t xml:space="preserve">BMC Pregnancy and Childbirth</w:t>
      </w:r>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Fonts w:ascii="Times New Roman" w:cs="Times New Roman" w:eastAsia="Times New Roman" w:hAnsi="Times New Roman"/>
          <w:i w:val="1"/>
          <w:color w:val="212121"/>
          <w:sz w:val="24"/>
          <w:szCs w:val="24"/>
          <w:rtl w:val="0"/>
        </w:rPr>
        <w:t xml:space="preserve">21</w:t>
      </w:r>
      <w:r w:rsidDel="00000000" w:rsidR="00000000" w:rsidRPr="00000000">
        <w:rPr>
          <w:rFonts w:ascii="Times New Roman" w:cs="Times New Roman" w:eastAsia="Times New Roman" w:hAnsi="Times New Roman"/>
          <w:color w:val="212121"/>
          <w:sz w:val="24"/>
          <w:szCs w:val="24"/>
          <w:rtl w:val="0"/>
        </w:rPr>
        <w:t xml:space="preserve">(1), 221.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https://doi.org/10.1186/s12884-021-03674-z</w:t>
        </w:r>
      </w:hyperlink>
      <w:r w:rsidDel="00000000" w:rsidR="00000000" w:rsidRPr="00000000">
        <w:rPr>
          <w:rFonts w:ascii="Times New Roman" w:cs="Times New Roman" w:eastAsia="Times New Roman" w:hAnsi="Times New Roman"/>
          <w:color w:val="212121"/>
          <w:sz w:val="24"/>
          <w:szCs w:val="24"/>
          <w:rtl w:val="0"/>
        </w:rPr>
        <w:t xml:space="preserve"> </w:t>
      </w:r>
    </w:p>
    <w:p w:rsidR="00000000" w:rsidDel="00000000" w:rsidP="00000000" w:rsidRDefault="00000000" w:rsidRPr="00000000" w14:paraId="00000032">
      <w:pPr>
        <w:widowControl w:val="0"/>
        <w:spacing w:line="480" w:lineRule="auto"/>
        <w:ind w:left="72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Papas, L., Hollingdrake, O., &amp; Currie, J. (2023). Social determinant factors and access to health care for women experiencing domestic and family violence: Qualitative synthesis. </w:t>
      </w:r>
      <w:r w:rsidDel="00000000" w:rsidR="00000000" w:rsidRPr="00000000">
        <w:rPr>
          <w:rFonts w:ascii="Times New Roman" w:cs="Times New Roman" w:eastAsia="Times New Roman" w:hAnsi="Times New Roman"/>
          <w:i w:val="1"/>
          <w:color w:val="212121"/>
          <w:sz w:val="24"/>
          <w:szCs w:val="24"/>
          <w:rtl w:val="0"/>
        </w:rPr>
        <w:t xml:space="preserve">Journal of advanced nursing</w:t>
      </w:r>
      <w:r w:rsidDel="00000000" w:rsidR="00000000" w:rsidRPr="00000000">
        <w:rPr>
          <w:rFonts w:ascii="Times New Roman" w:cs="Times New Roman" w:eastAsia="Times New Roman" w:hAnsi="Times New Roman"/>
          <w:color w:val="212121"/>
          <w:sz w:val="24"/>
          <w:szCs w:val="24"/>
          <w:rtl w:val="0"/>
        </w:rPr>
        <w:t xml:space="preserve">, </w:t>
      </w:r>
      <w:r w:rsidDel="00000000" w:rsidR="00000000" w:rsidRPr="00000000">
        <w:rPr>
          <w:rFonts w:ascii="Times New Roman" w:cs="Times New Roman" w:eastAsia="Times New Roman" w:hAnsi="Times New Roman"/>
          <w:i w:val="1"/>
          <w:color w:val="212121"/>
          <w:sz w:val="24"/>
          <w:szCs w:val="24"/>
          <w:rtl w:val="0"/>
        </w:rPr>
        <w:t xml:space="preserve">79</w:t>
      </w:r>
      <w:r w:rsidDel="00000000" w:rsidR="00000000" w:rsidRPr="00000000">
        <w:rPr>
          <w:rFonts w:ascii="Times New Roman" w:cs="Times New Roman" w:eastAsia="Times New Roman" w:hAnsi="Times New Roman"/>
          <w:color w:val="212121"/>
          <w:sz w:val="24"/>
          <w:szCs w:val="24"/>
          <w:rtl w:val="0"/>
        </w:rPr>
        <w:t xml:space="preserve">(5), 1633–1649. </w:t>
      </w:r>
      <w:hyperlink r:id="rId11">
        <w:r w:rsidDel="00000000" w:rsidR="00000000" w:rsidRPr="00000000">
          <w:rPr>
            <w:rFonts w:ascii="Times New Roman" w:cs="Times New Roman" w:eastAsia="Times New Roman" w:hAnsi="Times New Roman"/>
            <w:color w:val="1155cc"/>
            <w:sz w:val="24"/>
            <w:szCs w:val="24"/>
            <w:u w:val="single"/>
            <w:rtl w:val="0"/>
          </w:rPr>
          <w:t xml:space="preserve">https://doi.org/10.1111/jan.15565</w:t>
        </w:r>
      </w:hyperlink>
      <w:r w:rsidDel="00000000" w:rsidR="00000000" w:rsidRPr="00000000">
        <w:rPr>
          <w:rFonts w:ascii="Times New Roman" w:cs="Times New Roman" w:eastAsia="Times New Roman" w:hAnsi="Times New Roman"/>
          <w:color w:val="212121"/>
          <w:sz w:val="24"/>
          <w:szCs w:val="24"/>
          <w:rtl w:val="0"/>
        </w:rPr>
        <w:t xml:space="preserve"> </w:t>
      </w:r>
    </w:p>
    <w:p w:rsidR="00000000" w:rsidDel="00000000" w:rsidP="00000000" w:rsidRDefault="00000000" w:rsidRPr="00000000" w14:paraId="00000033">
      <w:pPr>
        <w:widowControl w:val="0"/>
        <w:spacing w:after="240" w:before="240" w:line="480" w:lineRule="auto"/>
        <w:ind w:left="720" w:hanging="720"/>
        <w:rPr>
          <w:rFonts w:ascii="Times New Roman" w:cs="Times New Roman" w:eastAsia="Times New Roman" w:hAnsi="Times New Roman"/>
          <w:color w:val="212121"/>
          <w:sz w:val="24"/>
          <w:szCs w:val="24"/>
        </w:rPr>
      </w:pPr>
      <w:r w:rsidDel="00000000" w:rsidR="00000000" w:rsidRPr="00000000">
        <w:rPr>
          <w:rFonts w:ascii="Times New Roman" w:cs="Times New Roman" w:eastAsia="Times New Roman" w:hAnsi="Times New Roman"/>
          <w:color w:val="212121"/>
          <w:sz w:val="24"/>
          <w:szCs w:val="24"/>
          <w:rtl w:val="0"/>
        </w:rPr>
        <w:t xml:space="preserve">Sapkota, D., Baird, K., Saito, A., &amp; Anderson, D. (2019). Interventions for reducing and/or controlling domestic violence among pregnant women in low- and middle-income countries: A systematic review. </w:t>
      </w:r>
      <w:r w:rsidDel="00000000" w:rsidR="00000000" w:rsidRPr="00000000">
        <w:rPr>
          <w:rFonts w:ascii="Times New Roman" w:cs="Times New Roman" w:eastAsia="Times New Roman" w:hAnsi="Times New Roman"/>
          <w:i w:val="1"/>
          <w:color w:val="212121"/>
          <w:sz w:val="24"/>
          <w:szCs w:val="24"/>
          <w:rtl w:val="0"/>
        </w:rPr>
        <w:t xml:space="preserve">Systematic Reviews</w:t>
      </w:r>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Fonts w:ascii="Times New Roman" w:cs="Times New Roman" w:eastAsia="Times New Roman" w:hAnsi="Times New Roman"/>
          <w:i w:val="1"/>
          <w:color w:val="212121"/>
          <w:sz w:val="24"/>
          <w:szCs w:val="24"/>
          <w:rtl w:val="0"/>
        </w:rPr>
        <w:t xml:space="preserve"> 8</w:t>
      </w:r>
      <w:r w:rsidDel="00000000" w:rsidR="00000000" w:rsidRPr="00000000">
        <w:rPr>
          <w:rFonts w:ascii="Times New Roman" w:cs="Times New Roman" w:eastAsia="Times New Roman" w:hAnsi="Times New Roman"/>
          <w:color w:val="212121"/>
          <w:sz w:val="24"/>
          <w:szCs w:val="24"/>
          <w:rtl w:val="0"/>
        </w:rPr>
        <w:t xml:space="preserve">(1), 79.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https://doi.org/10.1186/s13643-019-0998-4</w:t>
        </w:r>
      </w:hyperlink>
      <w:r w:rsidDel="00000000" w:rsidR="00000000" w:rsidRPr="00000000">
        <w:rPr>
          <w:rFonts w:ascii="Times New Roman" w:cs="Times New Roman" w:eastAsia="Times New Roman" w:hAnsi="Times New Roman"/>
          <w:color w:val="212121"/>
          <w:sz w:val="24"/>
          <w:szCs w:val="24"/>
          <w:rtl w:val="0"/>
        </w:rPr>
        <w:t xml:space="preserve"> </w:t>
      </w:r>
    </w:p>
    <w:p w:rsidR="00000000" w:rsidDel="00000000" w:rsidP="00000000" w:rsidRDefault="00000000" w:rsidRPr="00000000" w14:paraId="00000034">
      <w:pPr>
        <w:widowControl w:val="0"/>
        <w:spacing w:after="240" w:before="240"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Zapata-Calvente, A., Megías, J., Velasco, C., Caño, A., Khan, K., &amp; Rubio, L. (2022). Screening for intimate partner violence during pregnancy: A test accuracy study. </w:t>
      </w:r>
      <w:r w:rsidDel="00000000" w:rsidR="00000000" w:rsidRPr="00000000">
        <w:rPr>
          <w:rFonts w:ascii="Times New Roman" w:cs="Times New Roman" w:eastAsia="Times New Roman" w:hAnsi="Times New Roman"/>
          <w:i w:val="1"/>
          <w:sz w:val="24"/>
          <w:szCs w:val="24"/>
          <w:rtl w:val="0"/>
        </w:rPr>
        <w:t xml:space="preserve">European Journal of Public Health, 32</w:t>
      </w:r>
      <w:r w:rsidDel="00000000" w:rsidR="00000000" w:rsidRPr="00000000">
        <w:rPr>
          <w:rFonts w:ascii="Times New Roman" w:cs="Times New Roman" w:eastAsia="Times New Roman" w:hAnsi="Times New Roman"/>
          <w:sz w:val="24"/>
          <w:szCs w:val="24"/>
          <w:rtl w:val="0"/>
        </w:rPr>
        <w:t xml:space="preserve">(3), 429-435. </w:t>
      </w:r>
      <w:hyperlink r:id="rId13">
        <w:r w:rsidDel="00000000" w:rsidR="00000000" w:rsidRPr="00000000">
          <w:rPr>
            <w:rFonts w:ascii="Times New Roman" w:cs="Times New Roman" w:eastAsia="Times New Roman" w:hAnsi="Times New Roman"/>
            <w:color w:val="1155cc"/>
            <w:sz w:val="24"/>
            <w:szCs w:val="24"/>
            <w:u w:val="single"/>
            <w:rtl w:val="0"/>
          </w:rPr>
          <w:t xml:space="preserve">https://doi.org/10.1093/eurpub/ckac009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11/jan.15565" TargetMode="External"/><Relationship Id="rId10" Type="http://schemas.openxmlformats.org/officeDocument/2006/relationships/hyperlink" Target="https://doi.org/10.1186/s12884-021-03674-z" TargetMode="External"/><Relationship Id="rId13" Type="http://schemas.openxmlformats.org/officeDocument/2006/relationships/hyperlink" Target="https://doi.org/10.1093/eurpub/ckac009" TargetMode="External"/><Relationship Id="rId12" Type="http://schemas.openxmlformats.org/officeDocument/2006/relationships/hyperlink" Target="https://doi.org/10.1186/s13643-019-0998-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86/s12884-022-04604-3"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i.org/10.1016/j.ijnsa.2022.100068" TargetMode="External"/><Relationship Id="rId7" Type="http://schemas.openxmlformats.org/officeDocument/2006/relationships/hyperlink" Target="https://doi.org/10.1111/1471-0528.15846" TargetMode="External"/><Relationship Id="rId8" Type="http://schemas.openxmlformats.org/officeDocument/2006/relationships/hyperlink" Target="https://www.cdc.gov/violenceprevention/intimatepartnerviolence/riskprotectivefact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