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and Treating Adolescents with Eating Disorders</w:t>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Alexis Porohnavi</w:t>
      </w:r>
    </w:p>
    <w:p w:rsidR="00000000" w:rsidDel="00000000" w:rsidP="00000000" w:rsidRDefault="00000000" w:rsidRPr="00000000" w14:paraId="0000000B">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Margaret H. Rollins School of Nursing</w:t>
      </w:r>
    </w:p>
    <w:p w:rsidR="00000000" w:rsidDel="00000000" w:rsidP="00000000" w:rsidRDefault="00000000" w:rsidRPr="00000000" w14:paraId="0000000C">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N201 Care of Special Populations</w:t>
      </w:r>
    </w:p>
    <w:p w:rsidR="00000000" w:rsidDel="00000000" w:rsidP="00000000" w:rsidRDefault="00000000" w:rsidRPr="00000000" w14:paraId="0000000D">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V. Baich</w:t>
      </w:r>
    </w:p>
    <w:p w:rsidR="00000000" w:rsidDel="00000000" w:rsidP="00000000" w:rsidRDefault="00000000" w:rsidRPr="00000000" w14:paraId="0000000E">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6, 2023</w:t>
      </w:r>
    </w:p>
    <w:p w:rsidR="00000000" w:rsidDel="00000000" w:rsidP="00000000" w:rsidRDefault="00000000" w:rsidRPr="00000000" w14:paraId="0000000F">
      <w:pPr>
        <w:spacing w:line="480" w:lineRule="auto"/>
        <w:ind w:left="216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and Treating Adolescents with Eating Disorders</w:t>
      </w:r>
    </w:p>
    <w:p w:rsidR="00000000" w:rsidDel="00000000" w:rsidP="00000000" w:rsidRDefault="00000000" w:rsidRPr="00000000" w14:paraId="00000024">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is one of the basic needs that is required for survival. It is the source of energy, protection, and growth that our bodies rely on for nurture. Within society, food is even seen as the center of social connection as its presence is involved in virtually all social gatherings. This seemingly pleasant substance that many incorporate in their everyday lives with love and positivity is the same substance behind others’ misery. Individuals with eating disorders perceive food as the enemy and eating as an unpleasant experience. There are as many as 30 million americans affected by eating disorders that suffer with “severe disruptions in normal eating patterns, high levels of anxiety around eating, and a significant disturbance in the perception of body shape and weight” (</w:t>
      </w:r>
      <w:r w:rsidDel="00000000" w:rsidR="00000000" w:rsidRPr="00000000">
        <w:rPr>
          <w:rFonts w:ascii="Times New Roman" w:cs="Times New Roman" w:eastAsia="Times New Roman" w:hAnsi="Times New Roman"/>
          <w:sz w:val="24"/>
          <w:szCs w:val="24"/>
          <w:rtl w:val="0"/>
        </w:rPr>
        <w:t xml:space="preserve">Chiappetta, 2021)</w:t>
      </w:r>
      <w:r w:rsidDel="00000000" w:rsidR="00000000" w:rsidRPr="00000000">
        <w:rPr>
          <w:rFonts w:ascii="Times New Roman" w:cs="Times New Roman" w:eastAsia="Times New Roman" w:hAnsi="Times New Roman"/>
          <w:sz w:val="24"/>
          <w:szCs w:val="24"/>
          <w:rtl w:val="0"/>
        </w:rPr>
        <w:t xml:space="preserve">, with the most common age of onset occurring during adolescence (12-20 years old). Due to its high prevalence, nurses play an increasingly large role in identifying patients with eating disorders that they may encounter in many different settings and should be proficient in recognizing the clinical manifestations they present with. Overcoming these disorders is made possible with the use of milieu therapy and specific strategies used by the nurse and interdisciplinary team to achieve both cognitive and behavioral changes. Helping adolescents identify and treat their eating disorders in the healthcare setting ultimately begins with the recognition by the nurse and progresses with the help of routine assessments and Cognitive Behavioral Therapy [CBT] to restore behaviors with eating, heal the mind, and prevent complications that can arise from these disorders. </w:t>
      </w:r>
    </w:p>
    <w:p w:rsidR="00000000" w:rsidDel="00000000" w:rsidP="00000000" w:rsidRDefault="00000000" w:rsidRPr="00000000" w14:paraId="00000025">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Distorted body image, severe distress, and disrupted eating habits are collective qualities that encompass eating disorders. Accompanied by both undereating and overeating, the most common ED’s are anorexia nervosa, bulimia, and binge eating disorder. The adolescent population remains the most vulnerable for developing these disorders due to dramatic developmental changes and pressured peer relationships that are of utmost importance at these ages </w:t>
      </w:r>
      <w:r w:rsidDel="00000000" w:rsidR="00000000" w:rsidRPr="00000000">
        <w:rPr>
          <w:rFonts w:ascii="Times New Roman" w:cs="Times New Roman" w:eastAsia="Times New Roman" w:hAnsi="Times New Roman"/>
          <w:sz w:val="24"/>
          <w:szCs w:val="24"/>
          <w:rtl w:val="0"/>
        </w:rPr>
        <w:t xml:space="preserve">(Chew &amp; Temples, 2022). By definition of its full criteria, ED’s affect 10 per 100 adolescent females in the U.S. (Chew &amp; Temples, 2022), but one in five women struggle with disordered eating (Chiappetta, 2021), although males and other age groups are still at risk for their development. Because this risk for developing ED’s is highest during a time of developmental significance in regards to physical and physiological development, adolescent eating disorders are associated with chronic health problems such as fatigue, pain, insomnia, sickness, and migraines as well as associative anxiety and depressive disorders. The National Eating Disorders Association [NEDA], (2023) revealed that two-thirds of individuals with anorexia showed signs of an anxiety disorder. Aside from adolescence being a top risk factor, first degree relatives, dysfunctional family and interpersonal relationships, a perfectionistic personality, and cultural pressure such as weight stigma are other factors that are implicated in the etiology of eating disorders (NEDA, 2023). </w:t>
      </w:r>
    </w:p>
    <w:p w:rsidR="00000000" w:rsidDel="00000000" w:rsidP="00000000" w:rsidRDefault="00000000" w:rsidRPr="00000000" w14:paraId="00000026">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multitude of detrimental effects that eating disorders cause on a person’s physical and emotional health. Deficient consumption of calories and nutrients will cause the body to begin to break down muscle for fuel. The most important muscle in our bodies, the heart, can have the most dangerous consequences if affected. Bradycardia, or tachycardia, and hypotension will be clinically shown along with severe electrolyte deficiencies, such as potassium. Hypokalemia from purging can lead to muscle cramps and seizures, and result in cardiac dysrhythmias and possible death. The GI system is also affected by food restriction by slowing digestion and increasing constipation. Medical emergencies can be caused by purging with the onset of esophagitis and possible esophageal rupture, along with stomach rupture from binge-eating (NEDA, 2023). In addition, malnutrition and dehydration can lead to increased risk for infection; dry skin, hair, and nails; and kidney failure (NEDA, 2023). Apart from restricting and purging, binge-eating disorder complications are associated with obesity such as hypertension, type 2 diabetes, and metabolic syndrome (Chew &amp; Temples, 2022). Death from natural or unnatural causes is the primary concern for those with eating disorders. Considering those with ED’s also have comorbid depression and anxiety, suicide risk is high, and according to NEDA (2023), 1 in 5 deaths occur due to suicide among those with anorexia. </w:t>
      </w:r>
    </w:p>
    <w:p w:rsidR="00000000" w:rsidDel="00000000" w:rsidP="00000000" w:rsidRDefault="00000000" w:rsidRPr="00000000" w14:paraId="00000027">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Nurses interact with patients in a variety of health settings including both inpatient and outpatient settings. While considering what ED’s are, it may be known that they are usually done in secret without the recognition by other people, and according to Mellowspring (2023), only about one-third of people with eating disorders ever receive treatment, with fewer than 1 in 5 of those being adolescents. The role of a nurse is to recognize the signs and symptoms through assessments of weight, vital signs, lab work, physical manifestations, and dietary patterns. Although patients may seem healthy, “the body can temporarily adapt to the stressors of an eating disorder, causing laboratory tests to appear normal, requiring thorough and consistent medical understanding and management” (Mellowspring, 2023). Too low or high of a weight for one's age and height may be an indication, low electrolyte levels, low H&amp;H, high WBC’s, too low or high HR, low BP, hair loss or lanugo, no bowel movements, weakness, and callused knuckles, which can be a key sign of bulimia, are all clinical manifestations that may be present. In addition, erratic behaviors such as perfectionism, going to the bathroom after eating, and cutting foods into small pieces can be signs of an eating disorder (Chiappetta, 2021). It is important for nurses to be skilled at identifying these signs and symptoms in order to acutely treat the problems presented and offer long term multidisciplinary help as well. The nurse may need to start an IV line to rehydrate the individual, and to give medications and replace electrolyte deficiencies. The nurse should also perform daily weights, keep a strict record of intake and output, measure vital signs, and determine an appropriate nutrition and weight gain plan (Chiappetta, 2021). Above all, safety is number one priority and should be maintained throughout care. Establishing a milieu environment is also of high importance for the nurse to develop a one on one therapeutic relationship with the patient in a secure, encouraging setting by acknowledging the difficulty in what the patient is experiencing (Chiappetta, 2021) in order to build trust and offer support in hopes of a better treatment outcome. </w:t>
      </w:r>
    </w:p>
    <w:p w:rsidR="00000000" w:rsidDel="00000000" w:rsidP="00000000" w:rsidRDefault="00000000" w:rsidRPr="00000000" w14:paraId="00000028">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cognitive nature of eating disorders presents cognitive behavioral therapy as a key treatment option. This therapy emphasizes three aspects of cognition: automatic thoughts, cognitive distortions, and underlying beliefs or schemas (Chand et al., 2023). Automatic thoughts are the immediate interpretation of events that one has, and in patients with eating disorders, thoughts are exaggerated and distorted. Cognitive distortions are errors in logic that individuals with mental disorders possess that lead to irrational conclusions (Chand et al., 2023). The third aspect, underlying beliefs or schemas, are the ethical views individuals carry that serve as rules throughout their lives. CBT is typically done once the patient is medically stable and involves multiple, individualized sessions to build a therapeutic connection and implement appropriate strategies to meet the needs of each patient. A CBT session helps the patient identify their problems with disrupted thinking, helps them understand how their behaviors negatively impact them, and then implements ways to relieve their stress to promote changed behaviors (Chew &amp; Temples, 2022). One component of CBT to treat eating disorders is exposure therapy, “which involves guiding patients in confronting anxiety-provoking stimuli related to eating, such as forbidden foods, and body image” (Farrell et al., 2019). A study of the treatment of eating disorders was conducted by Farrell et al (2019) and consisted of “3 hours of exposure homework activities daily… Two meals and two snack times also provided opportunities for exposure to feared foods and various eating scenarios (e.g., buffet-style restaurants), supportive psychotherapy in a group format, nutritional education groups, and weekly family therapy sessions”. The results found that the patients experienced a considerable reduction in ED severity and associative features from admission to discharge (Farrell et al., 2019). At the start of therapy, an assessment of the patient is taken along with priority problems and goals that will be built upon from session to session (Chand et al., 2023). Subsequently, the sessions will begin with brief updates, an opportunity to address the patient's mood, a review of the given homework and provided feedback, and will end with a summary and setting up further homework (Chand et al., 2023). This hands-on, goal oriented approach is used in a variety of mental health problems and is a proven form of psychological therapy (Chand et al., 2023), providing patients with the support, compassion, and help they deserve. </w:t>
      </w:r>
    </w:p>
    <w:p w:rsidR="00000000" w:rsidDel="00000000" w:rsidP="00000000" w:rsidRDefault="00000000" w:rsidRPr="00000000" w14:paraId="00000029">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eating disorders begin as a mental disorder, they can cause numerous physical complications that can be life threatening. To these individuals, most commonly adolescent females, food produces a great amount of anxiety and fear regarding weight gain and body image, causing worsening eating behaviors. Most eating disorders go undiagnosed due to the secretive nature of the disorder, leaving it crucial to the nurse to identify key signs and symptoms through routine assessments. Acutely treating eating disorders consists of treating the signs and symptoms presented that may develop into complications such as rehydration, replacing electrolytes, and slowly refeeding. After stabilization, CBT sessions have been well known to change the distorted thought processes of these individuals through a highly structured method that beneficially changes his/</w:t>
      </w:r>
      <w:r w:rsidDel="00000000" w:rsidR="00000000" w:rsidRPr="00000000">
        <w:rPr>
          <w:rFonts w:ascii="Times New Roman" w:cs="Times New Roman" w:eastAsia="Times New Roman" w:hAnsi="Times New Roman"/>
          <w:sz w:val="24"/>
          <w:szCs w:val="24"/>
          <w:rtl w:val="0"/>
        </w:rPr>
        <w:t xml:space="preserve">her way</w:t>
      </w:r>
      <w:r w:rsidDel="00000000" w:rsidR="00000000" w:rsidRPr="00000000">
        <w:rPr>
          <w:rFonts w:ascii="Times New Roman" w:cs="Times New Roman" w:eastAsia="Times New Roman" w:hAnsi="Times New Roman"/>
          <w:sz w:val="24"/>
          <w:szCs w:val="24"/>
          <w:rtl w:val="0"/>
        </w:rPr>
        <w:t xml:space="preserve"> of living. Developing healthy coping mechanisms and eventually a high quality and longevity of life is a major goal that caretakers can strive for with eating disorder patients. </w:t>
      </w:r>
    </w:p>
    <w:p w:rsidR="00000000" w:rsidDel="00000000" w:rsidP="00000000" w:rsidRDefault="00000000" w:rsidRPr="00000000" w14:paraId="0000002A">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1">
      <w:pPr>
        <w:widowControl w:val="0"/>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Chand, S. P., Kuckel, D. P., &amp; Huecker, M. R. (2023). Cognitive behavior therapy. In </w:t>
      </w:r>
      <w:r w:rsidDel="00000000" w:rsidR="00000000" w:rsidRPr="00000000">
        <w:rPr>
          <w:rFonts w:ascii="Times New Roman" w:cs="Times New Roman" w:eastAsia="Times New Roman" w:hAnsi="Times New Roman"/>
          <w:i w:val="1"/>
          <w:color w:val="212121"/>
          <w:sz w:val="24"/>
          <w:szCs w:val="24"/>
          <w:highlight w:val="white"/>
          <w:rtl w:val="0"/>
        </w:rPr>
        <w:t xml:space="preserve">StatPearls</w:t>
      </w:r>
      <w:r w:rsidDel="00000000" w:rsidR="00000000" w:rsidRPr="00000000">
        <w:rPr>
          <w:rFonts w:ascii="Times New Roman" w:cs="Times New Roman" w:eastAsia="Times New Roman" w:hAnsi="Times New Roman"/>
          <w:color w:val="212121"/>
          <w:sz w:val="24"/>
          <w:szCs w:val="24"/>
          <w:highlight w:val="white"/>
          <w:rtl w:val="0"/>
        </w:rPr>
        <w:t xml:space="preserve">. StatPearls Publishing. </w:t>
      </w:r>
      <w:r w:rsidDel="00000000" w:rsidR="00000000" w:rsidRPr="00000000">
        <w:rPr>
          <w:rFonts w:ascii="Times New Roman" w:cs="Times New Roman" w:eastAsia="Times New Roman" w:hAnsi="Times New Roman"/>
          <w:color w:val="222222"/>
          <w:sz w:val="24"/>
          <w:szCs w:val="24"/>
          <w:highlight w:val="white"/>
          <w:rtl w:val="0"/>
        </w:rPr>
        <w:t xml:space="preserve">https://www.ncbi.nlm.nih.gov/books/NBK470241/</w:t>
      </w:r>
      <w:r w:rsidDel="00000000" w:rsidR="00000000" w:rsidRPr="00000000">
        <w:rPr>
          <w:rtl w:val="0"/>
        </w:rPr>
      </w:r>
    </w:p>
    <w:p w:rsidR="00000000" w:rsidDel="00000000" w:rsidP="00000000" w:rsidRDefault="00000000" w:rsidRPr="00000000" w14:paraId="00000042">
      <w:pPr>
        <w:widowControl w:val="0"/>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Chew, K. K., &amp; Temples, H. S. (2022). Adolescent eating disorders: Early identification and management in primary care. </w:t>
      </w:r>
      <w:r w:rsidDel="00000000" w:rsidR="00000000" w:rsidRPr="00000000">
        <w:rPr>
          <w:rFonts w:ascii="Times New Roman" w:cs="Times New Roman" w:eastAsia="Times New Roman" w:hAnsi="Times New Roman"/>
          <w:i w:val="1"/>
          <w:color w:val="212121"/>
          <w:sz w:val="24"/>
          <w:szCs w:val="24"/>
          <w:highlight w:val="white"/>
          <w:rtl w:val="0"/>
        </w:rPr>
        <w:t xml:space="preserve">Journal of pediatric health care: Official publication of national association of pediatric nurse associates &amp; practitioners</w:t>
      </w:r>
      <w:r w:rsidDel="00000000" w:rsidR="00000000" w:rsidRPr="00000000">
        <w:rPr>
          <w:rFonts w:ascii="Times New Roman" w:cs="Times New Roman" w:eastAsia="Times New Roman" w:hAnsi="Times New Roman"/>
          <w:color w:val="212121"/>
          <w:sz w:val="24"/>
          <w:szCs w:val="24"/>
          <w:highlight w:val="white"/>
          <w:rtl w:val="0"/>
        </w:rPr>
        <w:t xml:space="preserve">,</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i w:val="1"/>
          <w:color w:val="212121"/>
          <w:sz w:val="24"/>
          <w:szCs w:val="24"/>
          <w:highlight w:val="white"/>
          <w:rtl w:val="0"/>
        </w:rPr>
        <w:t xml:space="preserve">36</w:t>
      </w:r>
      <w:r w:rsidDel="00000000" w:rsidR="00000000" w:rsidRPr="00000000">
        <w:rPr>
          <w:rFonts w:ascii="Times New Roman" w:cs="Times New Roman" w:eastAsia="Times New Roman" w:hAnsi="Times New Roman"/>
          <w:color w:val="212121"/>
          <w:sz w:val="24"/>
          <w:szCs w:val="24"/>
          <w:highlight w:val="white"/>
          <w:rtl w:val="0"/>
        </w:rPr>
        <w:t xml:space="preserve">(6), 618–627. https://doi.org/10.1016/j.pedhc.2022.06.004</w:t>
      </w:r>
      <w:r w:rsidDel="00000000" w:rsidR="00000000" w:rsidRPr="00000000">
        <w:rPr>
          <w:rtl w:val="0"/>
        </w:rPr>
      </w:r>
    </w:p>
    <w:p w:rsidR="00000000" w:rsidDel="00000000" w:rsidP="00000000" w:rsidRDefault="00000000" w:rsidRPr="00000000" w14:paraId="00000043">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Chiappetta, L. (2021). Eating Disorders. In E. M. Varcarolis &amp; C. D. Fosbre (Eds.), </w:t>
      </w:r>
      <w:r w:rsidDel="00000000" w:rsidR="00000000" w:rsidRPr="00000000">
        <w:rPr>
          <w:rFonts w:ascii="Times New Roman" w:cs="Times New Roman" w:eastAsia="Times New Roman" w:hAnsi="Times New Roman"/>
          <w:i w:val="1"/>
          <w:sz w:val="24"/>
          <w:szCs w:val="24"/>
          <w:rtl w:val="0"/>
        </w:rPr>
        <w:t xml:space="preserve">Essentials of psychiatric-mental health nursing: A communication approach to evidence-based care </w:t>
      </w:r>
      <w:r w:rsidDel="00000000" w:rsidR="00000000" w:rsidRPr="00000000">
        <w:rPr>
          <w:rFonts w:ascii="Times New Roman" w:cs="Times New Roman" w:eastAsia="Times New Roman" w:hAnsi="Times New Roman"/>
          <w:sz w:val="24"/>
          <w:szCs w:val="24"/>
          <w:rtl w:val="0"/>
        </w:rPr>
        <w:t xml:space="preserve">(4th ed., pp. 184-195). Elsevier. </w:t>
      </w:r>
    </w:p>
    <w:p w:rsidR="00000000" w:rsidDel="00000000" w:rsidP="00000000" w:rsidRDefault="00000000" w:rsidRPr="00000000" w14:paraId="00000044">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Farrell, N. R., Brosof, L. C., Vanzhula, I. A., Christian, C., Bowie, O. R., &amp; Levinson, C. A. (2019). </w:t>
      </w:r>
      <w:r w:rsidDel="00000000" w:rsidR="00000000" w:rsidRPr="00000000">
        <w:rPr>
          <w:rFonts w:ascii="Times New Roman" w:cs="Times New Roman" w:eastAsia="Times New Roman" w:hAnsi="Times New Roman"/>
          <w:color w:val="212121"/>
          <w:sz w:val="24"/>
          <w:szCs w:val="24"/>
          <w:highlight w:val="white"/>
          <w:rtl w:val="0"/>
        </w:rPr>
        <w:t xml:space="preserve">Exploring mechanisms of action in exposure-based cognitive behavioral therapy for eating disorders: The role of eating-related fears and body-related safety behaviors. </w:t>
      </w:r>
      <w:r w:rsidDel="00000000" w:rsidR="00000000" w:rsidRPr="00000000">
        <w:rPr>
          <w:rFonts w:ascii="Times New Roman" w:cs="Times New Roman" w:eastAsia="Times New Roman" w:hAnsi="Times New Roman"/>
          <w:i w:val="1"/>
          <w:color w:val="212121"/>
          <w:sz w:val="24"/>
          <w:szCs w:val="24"/>
          <w:highlight w:val="white"/>
          <w:rtl w:val="0"/>
        </w:rPr>
        <w:t xml:space="preserve">Behavior therapy</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i w:val="1"/>
          <w:color w:val="212121"/>
          <w:sz w:val="24"/>
          <w:szCs w:val="24"/>
          <w:highlight w:val="white"/>
          <w:rtl w:val="0"/>
        </w:rPr>
        <w:t xml:space="preserve">50</w:t>
      </w:r>
      <w:r w:rsidDel="00000000" w:rsidR="00000000" w:rsidRPr="00000000">
        <w:rPr>
          <w:rFonts w:ascii="Times New Roman" w:cs="Times New Roman" w:eastAsia="Times New Roman" w:hAnsi="Times New Roman"/>
          <w:color w:val="212121"/>
          <w:sz w:val="24"/>
          <w:szCs w:val="24"/>
          <w:highlight w:val="white"/>
          <w:rtl w:val="0"/>
        </w:rPr>
        <w:t xml:space="preserve">(6), 1125–1135. https://doi.org/10.1016/j.beth.2019.01.008</w:t>
      </w:r>
      <w:r w:rsidDel="00000000" w:rsidR="00000000" w:rsidRPr="00000000">
        <w:rPr>
          <w:rtl w:val="0"/>
        </w:rPr>
      </w:r>
    </w:p>
    <w:p w:rsidR="00000000" w:rsidDel="00000000" w:rsidP="00000000" w:rsidRDefault="00000000" w:rsidRPr="00000000" w14:paraId="00000045">
      <w:pPr>
        <w:spacing w:line="480" w:lineRule="auto"/>
        <w:ind w:left="720" w:hanging="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212121"/>
          <w:sz w:val="24"/>
          <w:szCs w:val="24"/>
          <w:rtl w:val="0"/>
        </w:rPr>
        <w:t xml:space="preserve">Mellowspring, A. (2023). </w:t>
      </w:r>
      <w:r w:rsidDel="00000000" w:rsidR="00000000" w:rsidRPr="00000000">
        <w:rPr>
          <w:rFonts w:ascii="Times New Roman" w:cs="Times New Roman" w:eastAsia="Times New Roman" w:hAnsi="Times New Roman"/>
          <w:color w:val="212121"/>
          <w:sz w:val="24"/>
          <w:szCs w:val="24"/>
          <w:rtl w:val="0"/>
        </w:rPr>
        <w:t xml:space="preserve">Eating disorders in the primary care setting. </w:t>
      </w:r>
      <w:r w:rsidDel="00000000" w:rsidR="00000000" w:rsidRPr="00000000">
        <w:rPr>
          <w:rFonts w:ascii="Times New Roman" w:cs="Times New Roman" w:eastAsia="Times New Roman" w:hAnsi="Times New Roman"/>
          <w:i w:val="1"/>
          <w:color w:val="212121"/>
          <w:sz w:val="24"/>
          <w:szCs w:val="24"/>
          <w:highlight w:val="white"/>
          <w:rtl w:val="0"/>
        </w:rPr>
        <w:t xml:space="preserve">Primary care</w:t>
      </w:r>
      <w:r w:rsidDel="00000000" w:rsidR="00000000" w:rsidRPr="00000000">
        <w:rPr>
          <w:rFonts w:ascii="Roboto" w:cs="Roboto" w:eastAsia="Roboto" w:hAnsi="Roboto"/>
          <w:color w:val="212121"/>
          <w:sz w:val="24"/>
          <w:szCs w:val="24"/>
          <w:highlight w:val="white"/>
          <w:rtl w:val="0"/>
        </w:rPr>
        <w:t xml:space="preserve">, </w:t>
      </w:r>
      <w:r w:rsidDel="00000000" w:rsidR="00000000" w:rsidRPr="00000000">
        <w:rPr>
          <w:rFonts w:ascii="Times New Roman" w:cs="Times New Roman" w:eastAsia="Times New Roman" w:hAnsi="Times New Roman"/>
          <w:i w:val="1"/>
          <w:color w:val="212121"/>
          <w:sz w:val="24"/>
          <w:szCs w:val="24"/>
          <w:rtl w:val="0"/>
        </w:rPr>
        <w:t xml:space="preserve">50</w:t>
      </w:r>
      <w:r w:rsidDel="00000000" w:rsidR="00000000" w:rsidRPr="00000000">
        <w:rPr>
          <w:rFonts w:ascii="Times New Roman" w:cs="Times New Roman" w:eastAsia="Times New Roman" w:hAnsi="Times New Roman"/>
          <w:color w:val="212121"/>
          <w:sz w:val="24"/>
          <w:szCs w:val="24"/>
          <w:rtl w:val="0"/>
        </w:rPr>
        <w:t xml:space="preserve">(1), 103–117.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https://doi.org/10.1016/j.pop.2022.10.012</w:t>
        </w:r>
      </w:hyperlink>
      <w:r w:rsidDel="00000000" w:rsidR="00000000" w:rsidRPr="00000000">
        <w:rPr>
          <w:rtl w:val="0"/>
        </w:rPr>
      </w:r>
    </w:p>
    <w:p w:rsidR="00000000" w:rsidDel="00000000" w:rsidP="00000000" w:rsidRDefault="00000000" w:rsidRPr="00000000" w14:paraId="00000046">
      <w:pPr>
        <w:spacing w:line="480" w:lineRule="auto"/>
        <w:ind w:left="720" w:hanging="72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National Eating Disorders Association. (2023). </w:t>
      </w:r>
      <w:r w:rsidDel="00000000" w:rsidR="00000000" w:rsidRPr="00000000">
        <w:rPr>
          <w:rFonts w:ascii="Times New Roman" w:cs="Times New Roman" w:eastAsia="Times New Roman" w:hAnsi="Times New Roman"/>
          <w:i w:val="1"/>
          <w:color w:val="333333"/>
          <w:sz w:val="24"/>
          <w:szCs w:val="24"/>
          <w:highlight w:val="white"/>
          <w:rtl w:val="0"/>
        </w:rPr>
        <w:t xml:space="preserve">Eating disorders</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i w:val="1"/>
          <w:color w:val="333333"/>
          <w:sz w:val="24"/>
          <w:szCs w:val="24"/>
          <w:highlight w:val="white"/>
          <w:rtl w:val="0"/>
        </w:rPr>
        <w:t xml:space="preserve">NEDA. </w:t>
      </w:r>
      <w:r w:rsidDel="00000000" w:rsidR="00000000" w:rsidRPr="00000000">
        <w:rPr>
          <w:rFonts w:ascii="Times New Roman" w:cs="Times New Roman" w:eastAsia="Times New Roman" w:hAnsi="Times New Roman"/>
          <w:color w:val="333333"/>
          <w:sz w:val="24"/>
          <w:szCs w:val="24"/>
          <w:highlight w:val="white"/>
          <w:rtl w:val="0"/>
        </w:rPr>
        <w:t xml:space="preserve">https://www.nationaleatingdisorder.org/health-consequences</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j.pop.2022.10.012"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