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78" w:rsidRPr="00BD2B78" w:rsidRDefault="00BD2B78" w:rsidP="00BD2B78">
      <w:pPr>
        <w:spacing w:before="100" w:beforeAutospacing="1" w:after="100" w:afterAutospacing="1"/>
        <w:jc w:val="center"/>
        <w:rPr>
          <w:rFonts w:eastAsia="Times New Roman" w:cs="Times New Roman"/>
          <w:szCs w:val="24"/>
        </w:rPr>
      </w:pPr>
      <w:r w:rsidRPr="00BD2B78">
        <w:rPr>
          <w:rFonts w:ascii="Arial" w:eastAsia="Times New Roman" w:hAnsi="Arial" w:cs="Arial"/>
          <w:sz w:val="36"/>
          <w:szCs w:val="36"/>
        </w:rPr>
        <w:t>THE HISTORY OF THE HIGHER CRITICISM</w:t>
      </w:r>
    </w:p>
    <w:p w:rsidR="00BD2B78" w:rsidRPr="00BD2B78" w:rsidRDefault="00BD2B78" w:rsidP="00BD2B78">
      <w:pPr>
        <w:spacing w:before="100" w:beforeAutospacing="1" w:after="100" w:afterAutospacing="1"/>
        <w:jc w:val="center"/>
        <w:rPr>
          <w:rFonts w:eastAsia="Times New Roman" w:cs="Times New Roman"/>
          <w:szCs w:val="24"/>
        </w:rPr>
      </w:pPr>
      <w:r w:rsidRPr="00BD2B78">
        <w:rPr>
          <w:rFonts w:ascii="Arial" w:eastAsia="Times New Roman" w:hAnsi="Arial" w:cs="Arial"/>
          <w:sz w:val="20"/>
          <w:szCs w:val="20"/>
        </w:rPr>
        <w:t xml:space="preserve">BY CANON DYSON HAGUE, M. A., </w:t>
      </w:r>
      <w:r w:rsidRPr="00BD2B78">
        <w:rPr>
          <w:rFonts w:ascii="Arial" w:eastAsia="Times New Roman" w:hAnsi="Arial" w:cs="Arial"/>
          <w:sz w:val="20"/>
          <w:szCs w:val="20"/>
        </w:rPr>
        <w:br/>
        <w:t xml:space="preserve">RECTOR OF THE MEMORIAL CHURCH, LONDON, ONTARIO. </w:t>
      </w:r>
      <w:r w:rsidRPr="00BD2B78">
        <w:rPr>
          <w:rFonts w:ascii="Arial" w:eastAsia="Times New Roman" w:hAnsi="Arial" w:cs="Arial"/>
          <w:sz w:val="20"/>
          <w:szCs w:val="20"/>
        </w:rPr>
        <w:br/>
      </w:r>
      <w:proofErr w:type="gramStart"/>
      <w:r w:rsidRPr="00BD2B78">
        <w:rPr>
          <w:rFonts w:ascii="Arial" w:eastAsia="Times New Roman" w:hAnsi="Arial" w:cs="Arial"/>
          <w:sz w:val="20"/>
          <w:szCs w:val="20"/>
        </w:rPr>
        <w:t>LECTURER IN LITURGICS AND ECCLESIOLOGY, WYCLIFFE COLLEGE, TORONTO, CANADA.</w:t>
      </w:r>
      <w:proofErr w:type="gramEnd"/>
      <w:r w:rsidRPr="00BD2B78">
        <w:rPr>
          <w:rFonts w:ascii="Arial" w:eastAsia="Times New Roman" w:hAnsi="Arial" w:cs="Arial"/>
          <w:sz w:val="20"/>
          <w:szCs w:val="20"/>
        </w:rPr>
        <w:t xml:space="preserve"> </w:t>
      </w:r>
      <w:r w:rsidRPr="00BD2B78">
        <w:rPr>
          <w:rFonts w:ascii="Arial" w:eastAsia="Times New Roman" w:hAnsi="Arial" w:cs="Arial"/>
          <w:sz w:val="20"/>
          <w:szCs w:val="20"/>
        </w:rPr>
        <w:br/>
      </w:r>
      <w:proofErr w:type="gramStart"/>
      <w:r w:rsidRPr="00BD2B78">
        <w:rPr>
          <w:rFonts w:ascii="Arial" w:eastAsia="Times New Roman" w:hAnsi="Arial" w:cs="Arial"/>
          <w:sz w:val="20"/>
          <w:szCs w:val="20"/>
        </w:rPr>
        <w:t>EXAMINING CHAPLAIN TO THE BISHOP OF HURON.</w:t>
      </w:r>
      <w:proofErr w:type="gramEnd"/>
    </w:p>
    <w:p w:rsidR="00BD2B78" w:rsidRPr="00BD2B78" w:rsidRDefault="00BD2B78" w:rsidP="00BD2B78">
      <w:pPr>
        <w:rPr>
          <w:rFonts w:eastAsia="Times New Roman" w:cs="Times New Roman"/>
          <w:szCs w:val="24"/>
        </w:rPr>
      </w:pPr>
      <w:r w:rsidRPr="00BD2B78">
        <w:rPr>
          <w:rFonts w:eastAsia="Times New Roman" w:cs="Times New Roman"/>
          <w:szCs w:val="24"/>
        </w:rPr>
        <w:pict>
          <v:rect id="_x0000_i1025" style="width:327.6pt;height:.75pt" o:hrpct="700" o:hralign="center" o:hrstd="t" o:hrnoshade="t" o:hr="t" fillcolor="black" stroked="f"/>
        </w:pict>
      </w:r>
    </w:p>
    <w:p w:rsidR="00BD2B78" w:rsidRPr="00BD2B78" w:rsidRDefault="00BD2B78" w:rsidP="00BD2B78">
      <w:pPr>
        <w:spacing w:before="100" w:beforeAutospacing="1" w:after="100" w:afterAutospacing="1"/>
        <w:rPr>
          <w:rFonts w:eastAsia="Times New Roman" w:cs="Times New Roman"/>
          <w:szCs w:val="24"/>
        </w:rPr>
      </w:pPr>
      <w:r w:rsidRPr="00BD2B78">
        <w:rPr>
          <w:rFonts w:ascii="Arial" w:eastAsia="Times New Roman" w:hAnsi="Arial" w:cs="Arial"/>
          <w:i/>
          <w:iCs/>
          <w:szCs w:val="24"/>
        </w:rPr>
        <w:t xml:space="preserve">What is the meaning of the Higher Criticism? Why is it called higher? </w:t>
      </w:r>
      <w:proofErr w:type="gramStart"/>
      <w:r w:rsidRPr="00BD2B78">
        <w:rPr>
          <w:rFonts w:ascii="Arial" w:eastAsia="Times New Roman" w:hAnsi="Arial" w:cs="Arial"/>
          <w:i/>
          <w:iCs/>
          <w:szCs w:val="24"/>
        </w:rPr>
        <w:t>Higher than what?</w:t>
      </w:r>
      <w:proofErr w:type="gramEnd"/>
      <w:r w:rsidRPr="00BD2B78">
        <w:rPr>
          <w:rFonts w:ascii="Arial" w:eastAsia="Times New Roman" w:hAnsi="Arial" w:cs="Arial"/>
          <w:i/>
          <w:iCs/>
          <w:szCs w:val="24"/>
        </w:rPr>
        <w:t xml:space="preserve"> </w:t>
      </w:r>
    </w:p>
    <w:p w:rsidR="00BD2B78" w:rsidRPr="00BD2B78" w:rsidRDefault="00BD2B78" w:rsidP="00BD2B78">
      <w:pPr>
        <w:spacing w:before="100" w:beforeAutospacing="1" w:after="100" w:afterAutospacing="1"/>
        <w:rPr>
          <w:rFonts w:eastAsia="Times New Roman" w:cs="Times New Roman"/>
          <w:szCs w:val="24"/>
        </w:rPr>
      </w:pPr>
      <w:r w:rsidRPr="00BD2B78">
        <w:rPr>
          <w:rFonts w:ascii="Arial" w:eastAsia="Times New Roman" w:hAnsi="Arial" w:cs="Arial"/>
          <w:szCs w:val="24"/>
        </w:rPr>
        <w:t>At the outset it must be explained that the word “Higher” is an academic term, used in this connection in a purely special or technical sense. It is not used in the popular sense of the word at all, and may convey a wrong impression to the ordinary man. Nor is it meant to convey the idea of superiority. It is simply a term of contrast. It is used in contrast to the phrase, “Lower Criticism.”</w:t>
      </w:r>
    </w:p>
    <w:p w:rsidR="00BD2B78" w:rsidRPr="00BD2B78" w:rsidRDefault="00BD2B78" w:rsidP="00BD2B78">
      <w:pPr>
        <w:spacing w:before="100" w:beforeAutospacing="1" w:after="100" w:afterAutospacing="1"/>
        <w:rPr>
          <w:rFonts w:eastAsia="Times New Roman" w:cs="Times New Roman"/>
          <w:szCs w:val="24"/>
        </w:rPr>
      </w:pPr>
      <w:r w:rsidRPr="00BD2B78">
        <w:rPr>
          <w:rFonts w:ascii="Arial" w:eastAsia="Times New Roman" w:hAnsi="Arial" w:cs="Arial"/>
          <w:szCs w:val="24"/>
        </w:rPr>
        <w:t xml:space="preserve">One of the most important branches of theology is called the science of Biblical criticism, which has for its object the study of the history and contents, and origins and purposes, of the various books of the Bible. In the early stages of the science Biblical criticism was devoted to two great branches, the Lower, and the Higher. The Lower Criticism was employed to designate the study of the text of the Scripture, and included the investigation of the manuscripts, and the different readings in the various versions and codices and manuscripts in order that we may be sure we have the original words as they were written by the </w:t>
      </w:r>
      <w:proofErr w:type="gramStart"/>
      <w:r w:rsidRPr="00BD2B78">
        <w:rPr>
          <w:rFonts w:ascii="Arial" w:eastAsia="Times New Roman" w:hAnsi="Arial" w:cs="Arial"/>
          <w:szCs w:val="24"/>
        </w:rPr>
        <w:t>Divinely</w:t>
      </w:r>
      <w:proofErr w:type="gramEnd"/>
      <w:r w:rsidRPr="00BD2B78">
        <w:rPr>
          <w:rFonts w:ascii="Arial" w:eastAsia="Times New Roman" w:hAnsi="Arial" w:cs="Arial"/>
          <w:szCs w:val="24"/>
        </w:rPr>
        <w:t xml:space="preserve"> inspired writers. (See Briggs, Hex., page 1). The term generally used now-a-days is Textual Criticism. If the phrase were used in the twentieth century sense, </w:t>
      </w:r>
      <w:proofErr w:type="spellStart"/>
      <w:r w:rsidRPr="00BD2B78">
        <w:rPr>
          <w:rFonts w:ascii="Arial" w:eastAsia="Times New Roman" w:hAnsi="Arial" w:cs="Arial"/>
          <w:szCs w:val="24"/>
        </w:rPr>
        <w:t>Beza</w:t>
      </w:r>
      <w:proofErr w:type="spellEnd"/>
      <w:r w:rsidRPr="00BD2B78">
        <w:rPr>
          <w:rFonts w:ascii="Arial" w:eastAsia="Times New Roman" w:hAnsi="Arial" w:cs="Arial"/>
          <w:szCs w:val="24"/>
        </w:rPr>
        <w:t xml:space="preserve">, Erasmus, </w:t>
      </w:r>
      <w:proofErr w:type="spellStart"/>
      <w:r w:rsidRPr="00BD2B78">
        <w:rPr>
          <w:rFonts w:ascii="Arial" w:eastAsia="Times New Roman" w:hAnsi="Arial" w:cs="Arial"/>
          <w:szCs w:val="24"/>
        </w:rPr>
        <w:t>Bengel</w:t>
      </w:r>
      <w:proofErr w:type="spellEnd"/>
      <w:r w:rsidRPr="00BD2B78">
        <w:rPr>
          <w:rFonts w:ascii="Arial" w:eastAsia="Times New Roman" w:hAnsi="Arial" w:cs="Arial"/>
          <w:szCs w:val="24"/>
        </w:rPr>
        <w:t xml:space="preserve">, </w:t>
      </w:r>
      <w:proofErr w:type="spellStart"/>
      <w:r w:rsidRPr="00BD2B78">
        <w:rPr>
          <w:rFonts w:ascii="Arial" w:eastAsia="Times New Roman" w:hAnsi="Arial" w:cs="Arial"/>
          <w:szCs w:val="24"/>
        </w:rPr>
        <w:t>Griesbach</w:t>
      </w:r>
      <w:proofErr w:type="spellEnd"/>
      <w:r w:rsidRPr="00BD2B78">
        <w:rPr>
          <w:rFonts w:ascii="Arial" w:eastAsia="Times New Roman" w:hAnsi="Arial" w:cs="Arial"/>
          <w:szCs w:val="24"/>
        </w:rPr>
        <w:t xml:space="preserve">, </w:t>
      </w:r>
      <w:proofErr w:type="spellStart"/>
      <w:r w:rsidRPr="00BD2B78">
        <w:rPr>
          <w:rFonts w:ascii="Arial" w:eastAsia="Times New Roman" w:hAnsi="Arial" w:cs="Arial"/>
          <w:szCs w:val="24"/>
        </w:rPr>
        <w:t>Lachmann</w:t>
      </w:r>
      <w:proofErr w:type="spellEnd"/>
      <w:r w:rsidRPr="00BD2B78">
        <w:rPr>
          <w:rFonts w:ascii="Arial" w:eastAsia="Times New Roman" w:hAnsi="Arial" w:cs="Arial"/>
          <w:szCs w:val="24"/>
        </w:rPr>
        <w:t xml:space="preserve">, </w:t>
      </w:r>
      <w:proofErr w:type="spellStart"/>
      <w:r w:rsidRPr="00BD2B78">
        <w:rPr>
          <w:rFonts w:ascii="Arial" w:eastAsia="Times New Roman" w:hAnsi="Arial" w:cs="Arial"/>
          <w:szCs w:val="24"/>
        </w:rPr>
        <w:t>Tregelles</w:t>
      </w:r>
      <w:proofErr w:type="spellEnd"/>
      <w:r w:rsidRPr="00BD2B78">
        <w:rPr>
          <w:rFonts w:ascii="Arial" w:eastAsia="Times New Roman" w:hAnsi="Arial" w:cs="Arial"/>
          <w:szCs w:val="24"/>
        </w:rPr>
        <w:t xml:space="preserve">, </w:t>
      </w:r>
      <w:proofErr w:type="spellStart"/>
      <w:r w:rsidRPr="00BD2B78">
        <w:rPr>
          <w:rFonts w:ascii="Arial" w:eastAsia="Times New Roman" w:hAnsi="Arial" w:cs="Arial"/>
          <w:szCs w:val="24"/>
        </w:rPr>
        <w:t>Tischendorff</w:t>
      </w:r>
      <w:proofErr w:type="spellEnd"/>
      <w:r w:rsidRPr="00BD2B78">
        <w:rPr>
          <w:rFonts w:ascii="Arial" w:eastAsia="Times New Roman" w:hAnsi="Arial" w:cs="Arial"/>
          <w:szCs w:val="24"/>
        </w:rPr>
        <w:t xml:space="preserve">, Scrivener, Westcott, and </w:t>
      </w:r>
      <w:proofErr w:type="spellStart"/>
      <w:r w:rsidRPr="00BD2B78">
        <w:rPr>
          <w:rFonts w:ascii="Arial" w:eastAsia="Times New Roman" w:hAnsi="Arial" w:cs="Arial"/>
          <w:szCs w:val="24"/>
        </w:rPr>
        <w:t>Hort</w:t>
      </w:r>
      <w:proofErr w:type="spellEnd"/>
      <w:r w:rsidRPr="00BD2B78">
        <w:rPr>
          <w:rFonts w:ascii="Arial" w:eastAsia="Times New Roman" w:hAnsi="Arial" w:cs="Arial"/>
          <w:szCs w:val="24"/>
        </w:rPr>
        <w:t xml:space="preserve"> would be called Lower Critics. But the term is not now-a-days used as a rule. The Higher Criticism, on the contrary, was employed to designate the study of the historic origins, the dates, and authorship of the various books of the Bible, and that great branch of study which in the technical language of modern theology is known as Introduction. It is a very valuable branch of Biblical science, and is of the highest importance as an auxiliary in the interpretation of the Word of God. By its researches floods of light may be thrown on the Scriptures.</w:t>
      </w:r>
    </w:p>
    <w:p w:rsidR="00BD2B78" w:rsidRPr="00BD2B78" w:rsidRDefault="00BD2B78" w:rsidP="00BD2B78">
      <w:pPr>
        <w:spacing w:before="100" w:beforeAutospacing="1" w:after="100" w:afterAutospacing="1"/>
        <w:rPr>
          <w:rFonts w:eastAsia="Times New Roman" w:cs="Times New Roman"/>
          <w:szCs w:val="24"/>
        </w:rPr>
      </w:pPr>
      <w:r w:rsidRPr="00BD2B78">
        <w:rPr>
          <w:rFonts w:ascii="Arial" w:eastAsia="Times New Roman" w:hAnsi="Arial" w:cs="Arial"/>
          <w:szCs w:val="24"/>
        </w:rPr>
        <w:t xml:space="preserve">The term Higher Criticism, then, means nothing more than the study of the literary structure of the various books of the Bible, and more especially of the Old Testament. Now this in itself is most laudable. It is indispensable. It is just such work as every minister or Sunday School teacher does when he takes up his </w:t>
      </w:r>
      <w:proofErr w:type="spellStart"/>
      <w:r w:rsidRPr="00BD2B78">
        <w:rPr>
          <w:rFonts w:ascii="Arial" w:eastAsia="Times New Roman" w:hAnsi="Arial" w:cs="Arial"/>
          <w:szCs w:val="24"/>
        </w:rPr>
        <w:t>Peloubet’s</w:t>
      </w:r>
      <w:proofErr w:type="spellEnd"/>
      <w:r w:rsidRPr="00BD2B78">
        <w:rPr>
          <w:rFonts w:ascii="Arial" w:eastAsia="Times New Roman" w:hAnsi="Arial" w:cs="Arial"/>
          <w:szCs w:val="24"/>
        </w:rPr>
        <w:t xml:space="preserve"> Notes, or his Stalker’s St. Paul, or Geikie’s Hours with the Bible, to find out all he can with regard to the portion of the Bible he is studying; the author, the date, the circumstances, and purpose of its writing.</w:t>
      </w:r>
    </w:p>
    <w:p w:rsidR="00BD2B78" w:rsidRPr="00BD2B78" w:rsidRDefault="00BD2B78" w:rsidP="00BD2B78">
      <w:pPr>
        <w:spacing w:before="100" w:beforeAutospacing="1" w:after="100" w:afterAutospacing="1"/>
        <w:jc w:val="center"/>
        <w:rPr>
          <w:rFonts w:eastAsia="Times New Roman" w:cs="Times New Roman"/>
          <w:szCs w:val="24"/>
        </w:rPr>
      </w:pPr>
      <w:r w:rsidRPr="00BD2B78">
        <w:rPr>
          <w:rFonts w:ascii="Arial" w:eastAsia="Times New Roman" w:hAnsi="Arial" w:cs="Arial"/>
          <w:b/>
          <w:bCs/>
          <w:sz w:val="27"/>
          <w:szCs w:val="27"/>
        </w:rPr>
        <w:t>WHY IS HIGHER CRITICISM IDENTIFIED WITH UNBELIEF?</w:t>
      </w:r>
    </w:p>
    <w:p w:rsidR="00BD2B78" w:rsidRPr="00BD2B78" w:rsidRDefault="00BD2B78" w:rsidP="00BD2B78">
      <w:pPr>
        <w:spacing w:before="100" w:beforeAutospacing="1" w:after="100" w:afterAutospacing="1"/>
        <w:rPr>
          <w:rFonts w:eastAsia="Times New Roman" w:cs="Times New Roman"/>
          <w:szCs w:val="24"/>
        </w:rPr>
      </w:pPr>
      <w:r w:rsidRPr="00BD2B78">
        <w:rPr>
          <w:rFonts w:ascii="Arial" w:eastAsia="Times New Roman" w:hAnsi="Arial" w:cs="Arial"/>
          <w:i/>
          <w:iCs/>
          <w:szCs w:val="24"/>
        </w:rPr>
        <w:lastRenderedPageBreak/>
        <w:t xml:space="preserve">How is it, then, that the Higher Criticism has become identified in the popular mind with attacks upon the Bible and the supernatural character of the Holy Scriptures? </w:t>
      </w:r>
    </w:p>
    <w:p w:rsidR="00BD2B78" w:rsidRPr="00BD2B78" w:rsidRDefault="00BD2B78" w:rsidP="00BD2B78">
      <w:pPr>
        <w:spacing w:before="100" w:beforeAutospacing="1" w:after="100" w:afterAutospacing="1"/>
        <w:rPr>
          <w:rFonts w:eastAsia="Times New Roman" w:cs="Times New Roman"/>
          <w:szCs w:val="24"/>
        </w:rPr>
      </w:pPr>
      <w:r w:rsidRPr="00BD2B78">
        <w:rPr>
          <w:rFonts w:ascii="Arial" w:eastAsia="Times New Roman" w:hAnsi="Arial" w:cs="Arial"/>
          <w:szCs w:val="24"/>
        </w:rPr>
        <w:t xml:space="preserve">The reason is this. No study perhaps requires so devout a spirit and so exalted a faith in the supernatural as the pursuit of the Higher Criticism. It demands at once the ability of the scholar, and the simplicity of the believing child of God. For without faith no one can explain the Holy Scriptures, and without scholarship no one can investigate historic origins. </w:t>
      </w:r>
    </w:p>
    <w:p w:rsidR="00BD2B78" w:rsidRPr="00BD2B78" w:rsidRDefault="00BD2B78" w:rsidP="00BD2B78">
      <w:pPr>
        <w:spacing w:before="100" w:beforeAutospacing="1" w:after="100" w:afterAutospacing="1"/>
        <w:rPr>
          <w:rFonts w:eastAsia="Times New Roman" w:cs="Times New Roman"/>
          <w:szCs w:val="24"/>
        </w:rPr>
      </w:pPr>
      <w:r w:rsidRPr="00BD2B78">
        <w:rPr>
          <w:rFonts w:ascii="Arial" w:eastAsia="Times New Roman" w:hAnsi="Arial" w:cs="Arial"/>
          <w:szCs w:val="24"/>
        </w:rPr>
        <w:t xml:space="preserve">There is a Higher Criticism that is at once reverent in tone and scholarly in work. </w:t>
      </w:r>
      <w:proofErr w:type="spellStart"/>
      <w:r w:rsidRPr="00BD2B78">
        <w:rPr>
          <w:rFonts w:ascii="Arial" w:eastAsia="Times New Roman" w:hAnsi="Arial" w:cs="Arial"/>
          <w:szCs w:val="24"/>
        </w:rPr>
        <w:t>Hengstenberg</w:t>
      </w:r>
      <w:proofErr w:type="spellEnd"/>
      <w:r w:rsidRPr="00BD2B78">
        <w:rPr>
          <w:rFonts w:ascii="Arial" w:eastAsia="Times New Roman" w:hAnsi="Arial" w:cs="Arial"/>
          <w:szCs w:val="24"/>
        </w:rPr>
        <w:t xml:space="preserve">, the German, and Horne, the Englishman, may be taken as examples. Perhaps the greatest work in English on the Higher Criticism is Horne’s Introduction to the Critical Study and Knowledge of the Holy Scripture. It is a work that is simply massive in its scholarship, and invaluable in its vast reach of information for the study of the Holy Scriptures. But Horne’s Introduction is too large a work. It is too cumbrous for use in this hurrying age. (Carter’s edition in two volumes contains 1,149 pages, and in ordinary book form would contain over 4,000 pages, i.e., about ten volumes of 400 pages each). Latterly, however, it has been edited by Dr. Samuel Davidson, who practically adopted the views of </w:t>
      </w:r>
      <w:proofErr w:type="spellStart"/>
      <w:r w:rsidRPr="00BD2B78">
        <w:rPr>
          <w:rFonts w:ascii="Arial" w:eastAsia="Times New Roman" w:hAnsi="Arial" w:cs="Arial"/>
          <w:szCs w:val="24"/>
        </w:rPr>
        <w:t>Hupfield</w:t>
      </w:r>
      <w:proofErr w:type="spellEnd"/>
      <w:r w:rsidRPr="00BD2B78">
        <w:rPr>
          <w:rFonts w:ascii="Arial" w:eastAsia="Times New Roman" w:hAnsi="Arial" w:cs="Arial"/>
          <w:szCs w:val="24"/>
        </w:rPr>
        <w:t xml:space="preserve"> and Halle and interpolated not a few of the modern German theories. But Horne’s work from first to last is the work of a Christian believer; constructive, not destructive; fortifying faith in the Bible, not rationalistic. But the work of the Higher Critic has not always been pursued in a reverent spirit </w:t>
      </w:r>
      <w:proofErr w:type="gramStart"/>
      <w:r w:rsidRPr="00BD2B78">
        <w:rPr>
          <w:rFonts w:ascii="Arial" w:eastAsia="Times New Roman" w:hAnsi="Arial" w:cs="Arial"/>
          <w:szCs w:val="24"/>
        </w:rPr>
        <w:t>nor</w:t>
      </w:r>
      <w:proofErr w:type="gramEnd"/>
      <w:r w:rsidRPr="00BD2B78">
        <w:rPr>
          <w:rFonts w:ascii="Arial" w:eastAsia="Times New Roman" w:hAnsi="Arial" w:cs="Arial"/>
          <w:szCs w:val="24"/>
        </w:rPr>
        <w:t xml:space="preserve"> in the spirit of scientific and Christian scholarship.</w:t>
      </w:r>
    </w:p>
    <w:p w:rsidR="003E1D77" w:rsidRDefault="00BD2B78"/>
    <w:sectPr w:rsidR="003E1D77" w:rsidSect="00CA04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D2B78"/>
    <w:rsid w:val="00146B87"/>
    <w:rsid w:val="001F6F52"/>
    <w:rsid w:val="005C632E"/>
    <w:rsid w:val="007C59DE"/>
    <w:rsid w:val="00813D43"/>
    <w:rsid w:val="00B1391E"/>
    <w:rsid w:val="00BD2B78"/>
    <w:rsid w:val="00CA04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2B78"/>
    <w:pPr>
      <w:spacing w:before="100" w:beforeAutospacing="1" w:after="100" w:afterAutospacing="1"/>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38590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3814</Characters>
  <Application>Microsoft Office Word</Application>
  <DocSecurity>0</DocSecurity>
  <Lines>31</Lines>
  <Paragraphs>8</Paragraphs>
  <ScaleCrop>false</ScaleCrop>
  <Company> </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2016-07-08T03:41:00Z</dcterms:created>
  <dcterms:modified xsi:type="dcterms:W3CDTF">2016-07-08T03:41:00Z</dcterms:modified>
</cp:coreProperties>
</file>