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4A8" w:rsidRPr="00E63DE5" w:rsidRDefault="00E46F4D">
      <w:pPr>
        <w:rPr>
          <w:rFonts w:ascii="Bradley Hand ITC" w:hAnsi="Bradley Hand ITC"/>
          <w:sz w:val="28"/>
          <w:szCs w:val="28"/>
        </w:rPr>
      </w:pPr>
      <w:r w:rsidRPr="00E63DE5">
        <w:rPr>
          <w:rFonts w:ascii="Bradley Hand ITC" w:hAnsi="Bradley Hand ITC"/>
          <w:sz w:val="28"/>
          <w:szCs w:val="28"/>
        </w:rPr>
        <w:t>Week 3</w:t>
      </w:r>
    </w:p>
    <w:p w:rsidR="00E46F4D" w:rsidRPr="00E63DE5" w:rsidRDefault="00E46F4D">
      <w:pPr>
        <w:rPr>
          <w:rFonts w:ascii="Bradley Hand ITC" w:hAnsi="Bradley Hand ITC"/>
          <w:sz w:val="28"/>
          <w:szCs w:val="28"/>
        </w:rPr>
      </w:pPr>
    </w:p>
    <w:p w:rsidR="00E46F4D" w:rsidRPr="00E63DE5" w:rsidRDefault="00E46F4D">
      <w:pPr>
        <w:rPr>
          <w:rFonts w:ascii="Bradley Hand ITC" w:hAnsi="Bradley Hand ITC"/>
          <w:sz w:val="28"/>
          <w:szCs w:val="28"/>
        </w:rPr>
      </w:pPr>
    </w:p>
    <w:p w:rsidR="00E46F4D" w:rsidRPr="00E63DE5" w:rsidRDefault="00E46F4D" w:rsidP="00E46F4D">
      <w:pPr>
        <w:numPr>
          <w:ilvl w:val="0"/>
          <w:numId w:val="1"/>
        </w:num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After having read the case studies presented here, describe why you believe the authors chose to communicate in this manner. What are they trying to say? What is the importance of looking at real cases concerning our personal preparedness as well as that of the local congregation?</w:t>
      </w:r>
    </w:p>
    <w:p w:rsidR="000934E4" w:rsidRPr="00E63DE5" w:rsidRDefault="000934E4" w:rsidP="000934E4">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 xml:space="preserve">It’s easier for people to believe that they can make a difference or that they too can accomplish a goal if they see are learn of someone else who has made it through any situation that is </w:t>
      </w:r>
      <w:proofErr w:type="gramStart"/>
      <w:r w:rsidRPr="00E63DE5">
        <w:rPr>
          <w:rFonts w:ascii="Bradley Hand ITC" w:eastAsia="Times New Roman" w:hAnsi="Bradley Hand ITC" w:cs="Times New Roman"/>
          <w:sz w:val="28"/>
          <w:szCs w:val="28"/>
          <w:lang w:val="en"/>
        </w:rPr>
        <w:t>similar to</w:t>
      </w:r>
      <w:proofErr w:type="gramEnd"/>
      <w:r w:rsidRPr="00E63DE5">
        <w:rPr>
          <w:rFonts w:ascii="Bradley Hand ITC" w:eastAsia="Times New Roman" w:hAnsi="Bradley Hand ITC" w:cs="Times New Roman"/>
          <w:sz w:val="28"/>
          <w:szCs w:val="28"/>
          <w:lang w:val="en"/>
        </w:rPr>
        <w:t xml:space="preserve"> theirs. It’s like a silent type of encouragement or a personal challenge for a person or a group to keep moving forward until they achieve the goal that was personally set. (the little engine that could).</w:t>
      </w:r>
      <w:r w:rsidR="00910B14" w:rsidRPr="00E63DE5">
        <w:rPr>
          <w:rFonts w:ascii="Bradley Hand ITC" w:eastAsia="Times New Roman" w:hAnsi="Bradley Hand ITC" w:cs="Times New Roman"/>
          <w:sz w:val="28"/>
          <w:szCs w:val="28"/>
          <w:lang w:val="en"/>
        </w:rPr>
        <w:t xml:space="preserve"> </w:t>
      </w:r>
    </w:p>
    <w:p w:rsidR="00910B14" w:rsidRPr="00E63DE5" w:rsidRDefault="00910B14" w:rsidP="000934E4">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 xml:space="preserve">Reading, learning and descusssing how other groups were prepared allows the different congregations to have a guide on how too or how not to handle assist others in these stressful times. </w:t>
      </w:r>
    </w:p>
    <w:p w:rsidR="00472FB0" w:rsidRPr="00E63DE5" w:rsidRDefault="00472FB0" w:rsidP="000934E4">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According to the authors stories can bring to life the ideas. [1]</w:t>
      </w:r>
    </w:p>
    <w:p w:rsidR="00E46F4D" w:rsidRPr="00E63DE5" w:rsidRDefault="00E46F4D" w:rsidP="00E46F4D">
      <w:pPr>
        <w:numPr>
          <w:ilvl w:val="0"/>
          <w:numId w:val="1"/>
        </w:num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Choose two of the case studies that impacted you the most, and briefly describe them. What about each of them impacted you?</w:t>
      </w:r>
    </w:p>
    <w:p w:rsidR="00910B14" w:rsidRPr="00E63DE5" w:rsidRDefault="00326555" w:rsidP="00910B14">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 xml:space="preserve">Case study 2 was the most </w:t>
      </w:r>
      <w:r w:rsidR="00EA5475" w:rsidRPr="00E63DE5">
        <w:rPr>
          <w:rFonts w:ascii="Bradley Hand ITC" w:eastAsia="Times New Roman" w:hAnsi="Bradley Hand ITC" w:cs="Times New Roman"/>
          <w:sz w:val="28"/>
          <w:szCs w:val="28"/>
          <w:lang w:val="en"/>
        </w:rPr>
        <w:t>interesting</w:t>
      </w:r>
      <w:r w:rsidRPr="00E63DE5">
        <w:rPr>
          <w:rFonts w:ascii="Bradley Hand ITC" w:eastAsia="Times New Roman" w:hAnsi="Bradley Hand ITC" w:cs="Times New Roman"/>
          <w:sz w:val="28"/>
          <w:szCs w:val="28"/>
          <w:lang w:val="en"/>
        </w:rPr>
        <w:t xml:space="preserve"> to me. When </w:t>
      </w:r>
      <w:r w:rsidR="00EA5475" w:rsidRPr="00E63DE5">
        <w:rPr>
          <w:rFonts w:ascii="Bradley Hand ITC" w:eastAsia="Times New Roman" w:hAnsi="Bradley Hand ITC" w:cs="Times New Roman"/>
          <w:sz w:val="28"/>
          <w:szCs w:val="28"/>
          <w:lang w:val="en"/>
        </w:rPr>
        <w:t>disasters</w:t>
      </w:r>
      <w:r w:rsidRPr="00E63DE5">
        <w:rPr>
          <w:rFonts w:ascii="Bradley Hand ITC" w:eastAsia="Times New Roman" w:hAnsi="Bradley Hand ITC" w:cs="Times New Roman"/>
          <w:sz w:val="28"/>
          <w:szCs w:val="28"/>
          <w:lang w:val="en"/>
        </w:rPr>
        <w:t xml:space="preserve"> </w:t>
      </w:r>
      <w:r w:rsidR="00EA5475" w:rsidRPr="00E63DE5">
        <w:rPr>
          <w:rFonts w:ascii="Bradley Hand ITC" w:eastAsia="Times New Roman" w:hAnsi="Bradley Hand ITC" w:cs="Times New Roman"/>
          <w:sz w:val="28"/>
          <w:szCs w:val="28"/>
          <w:lang w:val="en"/>
        </w:rPr>
        <w:t>arise,</w:t>
      </w:r>
      <w:r w:rsidR="00196178" w:rsidRPr="00E63DE5">
        <w:rPr>
          <w:rFonts w:ascii="Bradley Hand ITC" w:eastAsia="Times New Roman" w:hAnsi="Bradley Hand ITC" w:cs="Times New Roman"/>
          <w:sz w:val="28"/>
          <w:szCs w:val="28"/>
          <w:lang w:val="en"/>
        </w:rPr>
        <w:t xml:space="preserve"> the interviews </w:t>
      </w:r>
      <w:r w:rsidR="00F47778" w:rsidRPr="00E63DE5">
        <w:rPr>
          <w:rFonts w:ascii="Bradley Hand ITC" w:eastAsia="Times New Roman" w:hAnsi="Bradley Hand ITC" w:cs="Times New Roman"/>
          <w:sz w:val="28"/>
          <w:szCs w:val="28"/>
          <w:lang w:val="en"/>
        </w:rPr>
        <w:t>of the displaced are highlighted (as it should)</w:t>
      </w:r>
      <w:r w:rsidRPr="00E63DE5">
        <w:rPr>
          <w:rFonts w:ascii="Bradley Hand ITC" w:eastAsia="Times New Roman" w:hAnsi="Bradley Hand ITC" w:cs="Times New Roman"/>
          <w:sz w:val="28"/>
          <w:szCs w:val="28"/>
          <w:lang w:val="en"/>
        </w:rPr>
        <w:t xml:space="preserve">. </w:t>
      </w:r>
      <w:r w:rsidR="00F47778" w:rsidRPr="00E63DE5">
        <w:rPr>
          <w:rFonts w:ascii="Bradley Hand ITC" w:eastAsia="Times New Roman" w:hAnsi="Bradley Hand ITC" w:cs="Times New Roman"/>
          <w:sz w:val="28"/>
          <w:szCs w:val="28"/>
          <w:lang w:val="en"/>
        </w:rPr>
        <w:t xml:space="preserve"> Within this study pastors and leaders have a chance to discuss what they are faced with and how they worked among themselves to assist the community.  In times of disaster, denominational leader</w:t>
      </w:r>
      <w:r w:rsidR="006C1486" w:rsidRPr="00E63DE5">
        <w:rPr>
          <w:rFonts w:ascii="Bradley Hand ITC" w:eastAsia="Times New Roman" w:hAnsi="Bradley Hand ITC" w:cs="Times New Roman"/>
          <w:sz w:val="28"/>
          <w:szCs w:val="28"/>
          <w:lang w:val="en"/>
        </w:rPr>
        <w:t>s utilize these relationships, but their mem</w:t>
      </w:r>
      <w:r w:rsidR="00F47778" w:rsidRPr="00E63DE5">
        <w:rPr>
          <w:rFonts w:ascii="Bradley Hand ITC" w:eastAsia="Times New Roman" w:hAnsi="Bradley Hand ITC" w:cs="Times New Roman"/>
          <w:sz w:val="28"/>
          <w:szCs w:val="28"/>
          <w:lang w:val="en"/>
        </w:rPr>
        <w:t xml:space="preserve"> organize relief efforts to aid congregations in need.</w:t>
      </w:r>
      <w:r w:rsidR="006C1486" w:rsidRPr="00E63DE5">
        <w:rPr>
          <w:rFonts w:ascii="Bradley Hand ITC" w:eastAsia="Times New Roman" w:hAnsi="Bradley Hand ITC" w:cs="Times New Roman"/>
          <w:sz w:val="28"/>
          <w:szCs w:val="28"/>
          <w:lang w:val="en"/>
        </w:rPr>
        <w:t xml:space="preserve"> These networks originally were created to strengthen fellowship and advance evangelism, but their members are now considering ways they might adapt these networks to faciliate collabrative dister relife amount churches. </w:t>
      </w:r>
      <w:r w:rsidR="00F47778" w:rsidRPr="00E63DE5">
        <w:rPr>
          <w:rFonts w:ascii="Bradley Hand ITC" w:eastAsia="Times New Roman" w:hAnsi="Bradley Hand ITC" w:cs="Times New Roman"/>
          <w:sz w:val="28"/>
          <w:szCs w:val="28"/>
          <w:lang w:val="en"/>
        </w:rPr>
        <w:t xml:space="preserve"> </w:t>
      </w:r>
      <w:r w:rsidR="00154A7A" w:rsidRPr="00E63DE5">
        <w:rPr>
          <w:rFonts w:ascii="Bradley Hand ITC" w:eastAsia="Times New Roman" w:hAnsi="Bradley Hand ITC" w:cs="Times New Roman"/>
          <w:sz w:val="28"/>
          <w:szCs w:val="28"/>
          <w:lang w:val="en"/>
        </w:rPr>
        <w:t xml:space="preserve">[2] </w:t>
      </w:r>
      <w:r w:rsidR="00196178" w:rsidRPr="00E63DE5">
        <w:rPr>
          <w:rFonts w:ascii="Bradley Hand ITC" w:eastAsia="Times New Roman" w:hAnsi="Bradley Hand ITC" w:cs="Times New Roman"/>
          <w:sz w:val="28"/>
          <w:szCs w:val="28"/>
          <w:lang w:val="en"/>
        </w:rPr>
        <w:t xml:space="preserve">It always appeared to me that persons giving aid or relief to the displaced community had </w:t>
      </w:r>
      <w:proofErr w:type="gramStart"/>
      <w:r w:rsidR="00196178" w:rsidRPr="00E63DE5">
        <w:rPr>
          <w:rFonts w:ascii="Bradley Hand ITC" w:eastAsia="Times New Roman" w:hAnsi="Bradley Hand ITC" w:cs="Times New Roman"/>
          <w:sz w:val="28"/>
          <w:szCs w:val="28"/>
          <w:lang w:val="en"/>
        </w:rPr>
        <w:t>the my</w:t>
      </w:r>
      <w:proofErr w:type="gramEnd"/>
      <w:r w:rsidR="00196178" w:rsidRPr="00E63DE5">
        <w:rPr>
          <w:rFonts w:ascii="Bradley Hand ITC" w:eastAsia="Times New Roman" w:hAnsi="Bradley Hand ITC" w:cs="Times New Roman"/>
          <w:sz w:val="28"/>
          <w:szCs w:val="28"/>
          <w:lang w:val="en"/>
        </w:rPr>
        <w:t xml:space="preserve"> way or the highway type of mentality, giving no regards to, culture, religion or other boundaries. </w:t>
      </w:r>
      <w:proofErr w:type="gramStart"/>
      <w:r w:rsidR="00196178" w:rsidRPr="00E63DE5">
        <w:rPr>
          <w:rFonts w:ascii="Bradley Hand ITC" w:eastAsia="Times New Roman" w:hAnsi="Bradley Hand ITC" w:cs="Times New Roman"/>
          <w:sz w:val="28"/>
          <w:szCs w:val="28"/>
          <w:lang w:val="en"/>
        </w:rPr>
        <w:t>In order to</w:t>
      </w:r>
      <w:proofErr w:type="gramEnd"/>
      <w:r w:rsidR="00196178" w:rsidRPr="00E63DE5">
        <w:rPr>
          <w:rFonts w:ascii="Bradley Hand ITC" w:eastAsia="Times New Roman" w:hAnsi="Bradley Hand ITC" w:cs="Times New Roman"/>
          <w:sz w:val="28"/>
          <w:szCs w:val="28"/>
          <w:lang w:val="en"/>
        </w:rPr>
        <w:t xml:space="preserve"> </w:t>
      </w:r>
      <w:r w:rsidR="00196178" w:rsidRPr="00E63DE5">
        <w:rPr>
          <w:rFonts w:ascii="Bradley Hand ITC" w:eastAsia="Times New Roman" w:hAnsi="Bradley Hand ITC" w:cs="Times New Roman"/>
          <w:sz w:val="28"/>
          <w:szCs w:val="28"/>
          <w:lang w:val="en"/>
        </w:rPr>
        <w:lastRenderedPageBreak/>
        <w:t>overcome these barriers to partnership, the pastor suggested various methods of collaboration that would address the unique cultural challenges they face. [3]</w:t>
      </w:r>
    </w:p>
    <w:p w:rsidR="00E46F4D" w:rsidRPr="00E63DE5" w:rsidRDefault="00E46F4D" w:rsidP="00E46F4D">
      <w:pPr>
        <w:numPr>
          <w:ilvl w:val="0"/>
          <w:numId w:val="1"/>
        </w:num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Why is a disaster preparedness ministry difficult to hold together and maintain over longer periods of time?</w:t>
      </w:r>
    </w:p>
    <w:p w:rsidR="00472FB0" w:rsidRPr="00E63DE5" w:rsidRDefault="00472FB0" w:rsidP="00472FB0">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 xml:space="preserve">If there are no disasters happening, there is no need to keep meeting. Sounds bad but true. My sister is a claims adjuster and she and her other coworkers look forward to </w:t>
      </w:r>
      <w:proofErr w:type="gramStart"/>
      <w:r w:rsidRPr="00E63DE5">
        <w:rPr>
          <w:rFonts w:ascii="Bradley Hand ITC" w:eastAsia="Times New Roman" w:hAnsi="Bradley Hand ITC" w:cs="Times New Roman"/>
          <w:sz w:val="28"/>
          <w:szCs w:val="28"/>
          <w:lang w:val="en"/>
        </w:rPr>
        <w:t>storm</w:t>
      </w:r>
      <w:proofErr w:type="gramEnd"/>
      <w:r w:rsidRPr="00E63DE5">
        <w:rPr>
          <w:rFonts w:ascii="Bradley Hand ITC" w:eastAsia="Times New Roman" w:hAnsi="Bradley Hand ITC" w:cs="Times New Roman"/>
          <w:sz w:val="28"/>
          <w:szCs w:val="28"/>
          <w:lang w:val="en"/>
        </w:rPr>
        <w:t xml:space="preserve"> season, they can work over time or for other companies on contract for more than triple their salaries to swiftly complete claims and get thing back to normal for displaced persons. </w:t>
      </w:r>
    </w:p>
    <w:p w:rsidR="0015371C" w:rsidRPr="00E63DE5" w:rsidRDefault="0015371C" w:rsidP="00472FB0">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I guess it’s the same as with the ministry, everyone is pumped up to provide the best service, help and assistance they can. They’ve been trained and ready to go, but over time as things die down people tend to go different ways, or find that there is no need for them at that time.</w:t>
      </w:r>
    </w:p>
    <w:p w:rsidR="0015371C" w:rsidRPr="00E63DE5" w:rsidRDefault="0015371C" w:rsidP="00472FB0">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 xml:space="preserve">It is developed in isolation from, the other programs or ministries of the congregation, </w:t>
      </w:r>
      <w:proofErr w:type="gramStart"/>
      <w:r w:rsidRPr="00E63DE5">
        <w:rPr>
          <w:rFonts w:ascii="Bradley Hand ITC" w:eastAsia="Times New Roman" w:hAnsi="Bradley Hand ITC" w:cs="Times New Roman"/>
          <w:sz w:val="28"/>
          <w:szCs w:val="28"/>
          <w:lang w:val="en"/>
        </w:rPr>
        <w:t>It</w:t>
      </w:r>
      <w:proofErr w:type="gramEnd"/>
      <w:r w:rsidRPr="00E63DE5">
        <w:rPr>
          <w:rFonts w:ascii="Bradley Hand ITC" w:eastAsia="Times New Roman" w:hAnsi="Bradley Hand ITC" w:cs="Times New Roman"/>
          <w:sz w:val="28"/>
          <w:szCs w:val="28"/>
          <w:lang w:val="en"/>
        </w:rPr>
        <w:t xml:space="preserve"> depends on the energy of one or a few people, it is not clearly aligned with the mission of the congregation, It requires resources that may not be available in the future, it is competing with other programs in your congregation for volunteer time and resources. [4]</w:t>
      </w:r>
    </w:p>
    <w:p w:rsidR="00E46F4D" w:rsidRPr="00E63DE5" w:rsidRDefault="00E46F4D" w:rsidP="00E46F4D">
      <w:pPr>
        <w:numPr>
          <w:ilvl w:val="0"/>
          <w:numId w:val="1"/>
        </w:num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What are the 11 things suggested by the authors that will help to prolong both the inte</w:t>
      </w:r>
      <w:r w:rsidR="0015371C" w:rsidRPr="00E63DE5">
        <w:rPr>
          <w:rFonts w:ascii="Bradley Hand ITC" w:eastAsia="Times New Roman" w:hAnsi="Bradley Hand ITC" w:cs="Times New Roman"/>
          <w:sz w:val="28"/>
          <w:szCs w:val="28"/>
          <w:lang w:val="en"/>
        </w:rPr>
        <w:t>rest and preparedness of church</w:t>
      </w:r>
      <w:r w:rsidRPr="00E63DE5">
        <w:rPr>
          <w:rFonts w:ascii="Bradley Hand ITC" w:eastAsia="Times New Roman" w:hAnsi="Bradley Hand ITC" w:cs="Times New Roman"/>
          <w:sz w:val="28"/>
          <w:szCs w:val="28"/>
          <w:lang w:val="en"/>
        </w:rPr>
        <w:t>?</w:t>
      </w:r>
    </w:p>
    <w:p w:rsidR="0015371C" w:rsidRPr="00E63DE5" w:rsidRDefault="0015371C" w:rsidP="0015371C">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It has clear open and continuing support from congregation members</w:t>
      </w:r>
    </w:p>
    <w:p w:rsidR="0015371C" w:rsidRPr="00E63DE5" w:rsidRDefault="0015371C" w:rsidP="0015371C">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 xml:space="preserve">It has clear reasonable </w:t>
      </w:r>
      <w:r w:rsidR="003E4CBA" w:rsidRPr="00E63DE5">
        <w:rPr>
          <w:rFonts w:ascii="Bradley Hand ITC" w:eastAsia="Times New Roman" w:hAnsi="Bradley Hand ITC" w:cs="Times New Roman"/>
          <w:sz w:val="28"/>
          <w:szCs w:val="28"/>
          <w:lang w:val="en"/>
        </w:rPr>
        <w:t>expectations</w:t>
      </w:r>
      <w:r w:rsidRPr="00E63DE5">
        <w:rPr>
          <w:rFonts w:ascii="Bradley Hand ITC" w:eastAsia="Times New Roman" w:hAnsi="Bradley Hand ITC" w:cs="Times New Roman"/>
          <w:sz w:val="28"/>
          <w:szCs w:val="28"/>
          <w:lang w:val="en"/>
        </w:rPr>
        <w:t xml:space="preserve"> for what the </w:t>
      </w:r>
      <w:r w:rsidR="003E4CBA" w:rsidRPr="00E63DE5">
        <w:rPr>
          <w:rFonts w:ascii="Bradley Hand ITC" w:eastAsia="Times New Roman" w:hAnsi="Bradley Hand ITC" w:cs="Times New Roman"/>
          <w:sz w:val="28"/>
          <w:szCs w:val="28"/>
          <w:lang w:val="en"/>
        </w:rPr>
        <w:t>project produce and what people will do.</w:t>
      </w:r>
    </w:p>
    <w:p w:rsidR="003E4CBA" w:rsidRPr="00E63DE5" w:rsidRDefault="003E4CBA" w:rsidP="0015371C">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The disaster ministry team clarifies their assumptions about the need for the program and checks to see if they are true.</w:t>
      </w:r>
    </w:p>
    <w:p w:rsidR="003E4CBA" w:rsidRPr="00E63DE5" w:rsidRDefault="003E4CBA" w:rsidP="0015371C">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Growth is managed so it does not grow out of control as people reacts to a crisis.</w:t>
      </w:r>
    </w:p>
    <w:p w:rsidR="003E4CBA" w:rsidRPr="00E63DE5" w:rsidRDefault="003E4CBA" w:rsidP="0015371C">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 xml:space="preserve">There is a plan for regular communication with the congregation. </w:t>
      </w:r>
    </w:p>
    <w:p w:rsidR="003E4CBA" w:rsidRPr="00E63DE5" w:rsidRDefault="003E4CBA" w:rsidP="0015371C">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lastRenderedPageBreak/>
        <w:t xml:space="preserve">If resources are needed there is a plan for where they will come from after the crisis is over. </w:t>
      </w:r>
    </w:p>
    <w:p w:rsidR="003E4CBA" w:rsidRPr="00E63DE5" w:rsidRDefault="003E4CBA" w:rsidP="0015371C">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It clearly supports and enhances the overall mission of the congregation.</w:t>
      </w:r>
    </w:p>
    <w:p w:rsidR="00E63DE5" w:rsidRPr="00E63DE5" w:rsidRDefault="003E4CBA" w:rsidP="0015371C">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 xml:space="preserve">It is combined with existing </w:t>
      </w:r>
      <w:r w:rsidR="00E63DE5" w:rsidRPr="00E63DE5">
        <w:rPr>
          <w:rFonts w:ascii="Bradley Hand ITC" w:eastAsia="Times New Roman" w:hAnsi="Bradley Hand ITC" w:cs="Times New Roman"/>
          <w:sz w:val="28"/>
          <w:szCs w:val="28"/>
          <w:lang w:val="en"/>
        </w:rPr>
        <w:t xml:space="preserve">congregational organizational systems. </w:t>
      </w:r>
    </w:p>
    <w:p w:rsidR="00E63DE5" w:rsidRPr="00E63DE5" w:rsidRDefault="00E63DE5" w:rsidP="0015371C">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 xml:space="preserve">It can become part of or support existing ministries. </w:t>
      </w:r>
    </w:p>
    <w:p w:rsidR="003E4CBA" w:rsidRPr="00E63DE5" w:rsidRDefault="00E63DE5" w:rsidP="0015371C">
      <w:pPr>
        <w:spacing w:before="100" w:beforeAutospacing="1" w:after="100" w:afterAutospacing="1" w:line="240" w:lineRule="auto"/>
        <w:rPr>
          <w:rFonts w:ascii="Bradley Hand ITC" w:eastAsia="Times New Roman" w:hAnsi="Bradley Hand ITC" w:cs="Times New Roman"/>
          <w:sz w:val="28"/>
          <w:szCs w:val="28"/>
          <w:lang w:val="en"/>
        </w:rPr>
      </w:pPr>
      <w:r w:rsidRPr="00E63DE5">
        <w:rPr>
          <w:rFonts w:ascii="Bradley Hand ITC" w:eastAsia="Times New Roman" w:hAnsi="Bradley Hand ITC" w:cs="Times New Roman"/>
          <w:sz w:val="28"/>
          <w:szCs w:val="28"/>
          <w:lang w:val="en"/>
        </w:rPr>
        <w:t xml:space="preserve">It provides a way for people to see that their work has benefits. [5] </w:t>
      </w:r>
    </w:p>
    <w:p w:rsidR="00196178" w:rsidRPr="00E63DE5" w:rsidRDefault="00472FB0" w:rsidP="00472FB0">
      <w:pPr>
        <w:pStyle w:val="ListParagraph"/>
        <w:numPr>
          <w:ilvl w:val="0"/>
          <w:numId w:val="2"/>
        </w:numPr>
        <w:rPr>
          <w:rFonts w:ascii="Bradley Hand ITC" w:hAnsi="Bradley Hand ITC"/>
          <w:sz w:val="28"/>
          <w:szCs w:val="28"/>
        </w:rPr>
      </w:pPr>
      <w:r w:rsidRPr="00E63DE5">
        <w:rPr>
          <w:rFonts w:ascii="Bradley Hand ITC" w:hAnsi="Bradley Hand ITC"/>
          <w:sz w:val="28"/>
          <w:szCs w:val="28"/>
        </w:rPr>
        <w:t xml:space="preserve">Jamie D. Aten, and David M. </w:t>
      </w:r>
      <w:proofErr w:type="spellStart"/>
      <w:r w:rsidRPr="00E63DE5">
        <w:rPr>
          <w:rFonts w:ascii="Bradley Hand ITC" w:hAnsi="Bradley Hand ITC"/>
          <w:sz w:val="28"/>
          <w:szCs w:val="28"/>
        </w:rPr>
        <w:t>Boan</w:t>
      </w:r>
      <w:proofErr w:type="spellEnd"/>
      <w:r w:rsidRPr="00E63DE5">
        <w:rPr>
          <w:rFonts w:ascii="Bradley Hand ITC" w:hAnsi="Bradley Hand ITC"/>
          <w:sz w:val="28"/>
          <w:szCs w:val="28"/>
        </w:rPr>
        <w:t>. Disaster Ministry Handbook (Inter Varsity Press, Downer Grove, Il: 2016) pg. 117</w:t>
      </w:r>
    </w:p>
    <w:p w:rsidR="00472FB0" w:rsidRPr="00E63DE5" w:rsidRDefault="00472FB0" w:rsidP="00472FB0">
      <w:pPr>
        <w:pStyle w:val="ListParagraph"/>
        <w:numPr>
          <w:ilvl w:val="0"/>
          <w:numId w:val="2"/>
        </w:numPr>
        <w:rPr>
          <w:rFonts w:ascii="Bradley Hand ITC" w:hAnsi="Bradley Hand ITC"/>
          <w:sz w:val="28"/>
          <w:szCs w:val="28"/>
        </w:rPr>
      </w:pPr>
      <w:r w:rsidRPr="00E63DE5">
        <w:rPr>
          <w:rFonts w:ascii="Bradley Hand ITC" w:hAnsi="Bradley Hand ITC"/>
          <w:sz w:val="28"/>
          <w:szCs w:val="28"/>
        </w:rPr>
        <w:t>Ibid pg. 121</w:t>
      </w:r>
    </w:p>
    <w:p w:rsidR="00472FB0" w:rsidRPr="00E63DE5" w:rsidRDefault="00472FB0" w:rsidP="00472FB0">
      <w:pPr>
        <w:pStyle w:val="ListParagraph"/>
        <w:numPr>
          <w:ilvl w:val="0"/>
          <w:numId w:val="2"/>
        </w:numPr>
        <w:rPr>
          <w:rFonts w:ascii="Bradley Hand ITC" w:hAnsi="Bradley Hand ITC"/>
          <w:sz w:val="28"/>
          <w:szCs w:val="28"/>
        </w:rPr>
      </w:pPr>
      <w:r w:rsidRPr="00E63DE5">
        <w:rPr>
          <w:rFonts w:ascii="Bradley Hand ITC" w:hAnsi="Bradley Hand ITC"/>
          <w:sz w:val="28"/>
          <w:szCs w:val="28"/>
        </w:rPr>
        <w:t>Ibid pg. 123</w:t>
      </w:r>
    </w:p>
    <w:p w:rsidR="00E63DE5" w:rsidRPr="00E63DE5" w:rsidRDefault="00E63DE5" w:rsidP="00472FB0">
      <w:pPr>
        <w:pStyle w:val="ListParagraph"/>
        <w:numPr>
          <w:ilvl w:val="0"/>
          <w:numId w:val="2"/>
        </w:numPr>
        <w:rPr>
          <w:rFonts w:ascii="Bradley Hand ITC" w:hAnsi="Bradley Hand ITC"/>
          <w:sz w:val="28"/>
          <w:szCs w:val="28"/>
        </w:rPr>
      </w:pPr>
      <w:r w:rsidRPr="00E63DE5">
        <w:rPr>
          <w:rFonts w:ascii="Bradley Hand ITC" w:hAnsi="Bradley Hand ITC"/>
          <w:sz w:val="28"/>
          <w:szCs w:val="28"/>
        </w:rPr>
        <w:t>Ibid pg. 132</w:t>
      </w:r>
    </w:p>
    <w:p w:rsidR="00E63DE5" w:rsidRPr="00E63DE5" w:rsidRDefault="00E63DE5" w:rsidP="00472FB0">
      <w:pPr>
        <w:pStyle w:val="ListParagraph"/>
        <w:numPr>
          <w:ilvl w:val="0"/>
          <w:numId w:val="2"/>
        </w:numPr>
        <w:rPr>
          <w:rFonts w:ascii="Bradley Hand ITC" w:hAnsi="Bradley Hand ITC"/>
          <w:sz w:val="28"/>
          <w:szCs w:val="28"/>
        </w:rPr>
      </w:pPr>
      <w:r w:rsidRPr="00E63DE5">
        <w:rPr>
          <w:rFonts w:ascii="Bradley Hand ITC" w:hAnsi="Bradley Hand ITC"/>
          <w:sz w:val="28"/>
          <w:szCs w:val="28"/>
        </w:rPr>
        <w:t>Ibid pg.133</w:t>
      </w:r>
      <w:bookmarkStart w:id="0" w:name="_GoBack"/>
      <w:bookmarkEnd w:id="0"/>
    </w:p>
    <w:sectPr w:rsidR="00E63DE5" w:rsidRPr="00E63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855AF"/>
    <w:multiLevelType w:val="multilevel"/>
    <w:tmpl w:val="E20EB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775BDF"/>
    <w:multiLevelType w:val="hybridMultilevel"/>
    <w:tmpl w:val="B8761346"/>
    <w:lvl w:ilvl="0" w:tplc="C7B8994E">
      <w:start w:val="1"/>
      <w:numFmt w:val="decimal"/>
      <w:lvlText w:val="%1."/>
      <w:lvlJc w:val="left"/>
      <w:pPr>
        <w:ind w:left="720" w:hanging="360"/>
      </w:pPr>
      <w:rPr>
        <w:rFonts w:ascii="Comic Sans MS" w:hAnsi="Comic Sans M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4D"/>
    <w:rsid w:val="000748E7"/>
    <w:rsid w:val="000934E4"/>
    <w:rsid w:val="0015371C"/>
    <w:rsid w:val="00154A7A"/>
    <w:rsid w:val="00196178"/>
    <w:rsid w:val="002B74A8"/>
    <w:rsid w:val="00326555"/>
    <w:rsid w:val="003E4CBA"/>
    <w:rsid w:val="00472FB0"/>
    <w:rsid w:val="006C1486"/>
    <w:rsid w:val="00910B14"/>
    <w:rsid w:val="00B47390"/>
    <w:rsid w:val="00CA27B3"/>
    <w:rsid w:val="00CD0718"/>
    <w:rsid w:val="00E46F4D"/>
    <w:rsid w:val="00E63DE5"/>
    <w:rsid w:val="00EA5475"/>
    <w:rsid w:val="00F4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C0AE"/>
  <w15:chartTrackingRefBased/>
  <w15:docId w15:val="{646DCF9F-65C6-402F-B22E-CB226C13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7105">
      <w:bodyDiv w:val="1"/>
      <w:marLeft w:val="0"/>
      <w:marRight w:val="0"/>
      <w:marTop w:val="0"/>
      <w:marBottom w:val="0"/>
      <w:divBdr>
        <w:top w:val="none" w:sz="0" w:space="0" w:color="auto"/>
        <w:left w:val="none" w:sz="0" w:space="0" w:color="auto"/>
        <w:bottom w:val="none" w:sz="0" w:space="0" w:color="auto"/>
        <w:right w:val="none" w:sz="0" w:space="0" w:color="auto"/>
      </w:divBdr>
      <w:divsChild>
        <w:div w:id="1060521685">
          <w:marLeft w:val="0"/>
          <w:marRight w:val="0"/>
          <w:marTop w:val="0"/>
          <w:marBottom w:val="0"/>
          <w:divBdr>
            <w:top w:val="none" w:sz="0" w:space="0" w:color="auto"/>
            <w:left w:val="none" w:sz="0" w:space="0" w:color="auto"/>
            <w:bottom w:val="none" w:sz="0" w:space="0" w:color="auto"/>
            <w:right w:val="none" w:sz="0" w:space="0" w:color="auto"/>
          </w:divBdr>
          <w:divsChild>
            <w:div w:id="484787557">
              <w:marLeft w:val="0"/>
              <w:marRight w:val="0"/>
              <w:marTop w:val="0"/>
              <w:marBottom w:val="0"/>
              <w:divBdr>
                <w:top w:val="none" w:sz="0" w:space="0" w:color="auto"/>
                <w:left w:val="none" w:sz="0" w:space="0" w:color="auto"/>
                <w:bottom w:val="none" w:sz="0" w:space="0" w:color="auto"/>
                <w:right w:val="none" w:sz="0" w:space="0" w:color="auto"/>
              </w:divBdr>
              <w:divsChild>
                <w:div w:id="1418868220">
                  <w:marLeft w:val="0"/>
                  <w:marRight w:val="0"/>
                  <w:marTop w:val="0"/>
                  <w:marBottom w:val="0"/>
                  <w:divBdr>
                    <w:top w:val="none" w:sz="0" w:space="0" w:color="auto"/>
                    <w:left w:val="none" w:sz="0" w:space="0" w:color="auto"/>
                    <w:bottom w:val="none" w:sz="0" w:space="0" w:color="auto"/>
                    <w:right w:val="none" w:sz="0" w:space="0" w:color="auto"/>
                  </w:divBdr>
                  <w:divsChild>
                    <w:div w:id="571430503">
                      <w:marLeft w:val="0"/>
                      <w:marRight w:val="0"/>
                      <w:marTop w:val="0"/>
                      <w:marBottom w:val="0"/>
                      <w:divBdr>
                        <w:top w:val="none" w:sz="0" w:space="0" w:color="auto"/>
                        <w:left w:val="none" w:sz="0" w:space="0" w:color="auto"/>
                        <w:bottom w:val="none" w:sz="0" w:space="0" w:color="auto"/>
                        <w:right w:val="none" w:sz="0" w:space="0" w:color="auto"/>
                      </w:divBdr>
                      <w:divsChild>
                        <w:div w:id="742022872">
                          <w:marLeft w:val="0"/>
                          <w:marRight w:val="0"/>
                          <w:marTop w:val="0"/>
                          <w:marBottom w:val="0"/>
                          <w:divBdr>
                            <w:top w:val="none" w:sz="0" w:space="0" w:color="auto"/>
                            <w:left w:val="none" w:sz="0" w:space="0" w:color="auto"/>
                            <w:bottom w:val="none" w:sz="0" w:space="0" w:color="auto"/>
                            <w:right w:val="none" w:sz="0" w:space="0" w:color="auto"/>
                          </w:divBdr>
                          <w:divsChild>
                            <w:div w:id="546376045">
                              <w:marLeft w:val="0"/>
                              <w:marRight w:val="0"/>
                              <w:marTop w:val="0"/>
                              <w:marBottom w:val="0"/>
                              <w:divBdr>
                                <w:top w:val="none" w:sz="0" w:space="0" w:color="auto"/>
                                <w:left w:val="none" w:sz="0" w:space="0" w:color="auto"/>
                                <w:bottom w:val="none" w:sz="0" w:space="0" w:color="auto"/>
                                <w:right w:val="none" w:sz="0" w:space="0" w:color="auto"/>
                              </w:divBdr>
                              <w:divsChild>
                                <w:div w:id="20438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634514">
      <w:bodyDiv w:val="1"/>
      <w:marLeft w:val="0"/>
      <w:marRight w:val="0"/>
      <w:marTop w:val="0"/>
      <w:marBottom w:val="0"/>
      <w:divBdr>
        <w:top w:val="none" w:sz="0" w:space="0" w:color="auto"/>
        <w:left w:val="none" w:sz="0" w:space="0" w:color="auto"/>
        <w:bottom w:val="none" w:sz="0" w:space="0" w:color="auto"/>
        <w:right w:val="none" w:sz="0" w:space="0" w:color="auto"/>
      </w:divBdr>
      <w:divsChild>
        <w:div w:id="445395389">
          <w:marLeft w:val="0"/>
          <w:marRight w:val="0"/>
          <w:marTop w:val="0"/>
          <w:marBottom w:val="0"/>
          <w:divBdr>
            <w:top w:val="none" w:sz="0" w:space="0" w:color="auto"/>
            <w:left w:val="none" w:sz="0" w:space="0" w:color="auto"/>
            <w:bottom w:val="none" w:sz="0" w:space="0" w:color="auto"/>
            <w:right w:val="none" w:sz="0" w:space="0" w:color="auto"/>
          </w:divBdr>
          <w:divsChild>
            <w:div w:id="761298406">
              <w:marLeft w:val="0"/>
              <w:marRight w:val="0"/>
              <w:marTop w:val="0"/>
              <w:marBottom w:val="0"/>
              <w:divBdr>
                <w:top w:val="none" w:sz="0" w:space="0" w:color="auto"/>
                <w:left w:val="none" w:sz="0" w:space="0" w:color="auto"/>
                <w:bottom w:val="none" w:sz="0" w:space="0" w:color="auto"/>
                <w:right w:val="none" w:sz="0" w:space="0" w:color="auto"/>
              </w:divBdr>
              <w:divsChild>
                <w:div w:id="1813596780">
                  <w:marLeft w:val="0"/>
                  <w:marRight w:val="0"/>
                  <w:marTop w:val="0"/>
                  <w:marBottom w:val="0"/>
                  <w:divBdr>
                    <w:top w:val="none" w:sz="0" w:space="0" w:color="auto"/>
                    <w:left w:val="none" w:sz="0" w:space="0" w:color="auto"/>
                    <w:bottom w:val="none" w:sz="0" w:space="0" w:color="auto"/>
                    <w:right w:val="none" w:sz="0" w:space="0" w:color="auto"/>
                  </w:divBdr>
                  <w:divsChild>
                    <w:div w:id="1776290936">
                      <w:marLeft w:val="0"/>
                      <w:marRight w:val="0"/>
                      <w:marTop w:val="0"/>
                      <w:marBottom w:val="0"/>
                      <w:divBdr>
                        <w:top w:val="none" w:sz="0" w:space="0" w:color="auto"/>
                        <w:left w:val="none" w:sz="0" w:space="0" w:color="auto"/>
                        <w:bottom w:val="none" w:sz="0" w:space="0" w:color="auto"/>
                        <w:right w:val="none" w:sz="0" w:space="0" w:color="auto"/>
                      </w:divBdr>
                      <w:divsChild>
                        <w:div w:id="403915310">
                          <w:marLeft w:val="0"/>
                          <w:marRight w:val="0"/>
                          <w:marTop w:val="0"/>
                          <w:marBottom w:val="0"/>
                          <w:divBdr>
                            <w:top w:val="none" w:sz="0" w:space="0" w:color="auto"/>
                            <w:left w:val="none" w:sz="0" w:space="0" w:color="auto"/>
                            <w:bottom w:val="none" w:sz="0" w:space="0" w:color="auto"/>
                            <w:right w:val="none" w:sz="0" w:space="0" w:color="auto"/>
                          </w:divBdr>
                          <w:divsChild>
                            <w:div w:id="1325670650">
                              <w:marLeft w:val="0"/>
                              <w:marRight w:val="0"/>
                              <w:marTop w:val="0"/>
                              <w:marBottom w:val="0"/>
                              <w:divBdr>
                                <w:top w:val="none" w:sz="0" w:space="0" w:color="auto"/>
                                <w:left w:val="none" w:sz="0" w:space="0" w:color="auto"/>
                                <w:bottom w:val="none" w:sz="0" w:space="0" w:color="auto"/>
                                <w:right w:val="none" w:sz="0" w:space="0" w:color="auto"/>
                              </w:divBdr>
                              <w:divsChild>
                                <w:div w:id="9850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douglas</dc:creator>
  <cp:keywords/>
  <dc:description/>
  <cp:lastModifiedBy>portia douglas</cp:lastModifiedBy>
  <cp:revision>3</cp:revision>
  <dcterms:created xsi:type="dcterms:W3CDTF">2017-09-19T15:56:00Z</dcterms:created>
  <dcterms:modified xsi:type="dcterms:W3CDTF">2017-09-21T02:59:00Z</dcterms:modified>
</cp:coreProperties>
</file>