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Economics</w:t>
      </w:r>
    </w:p>
    <w:p w:rsidR="00000000" w:rsidDel="00000000" w:rsidP="00000000" w:rsidRDefault="00000000" w:rsidRPr="00000000" w14:paraId="00000002">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Cost Tables</w:t>
      </w:r>
    </w:p>
    <w:p w:rsidR="00000000" w:rsidDel="00000000" w:rsidP="00000000" w:rsidRDefault="00000000" w:rsidRPr="00000000" w14:paraId="00000003">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Notes on Calculating Marginal Cost (MC)</w:t>
      </w:r>
    </w:p>
    <w:p w:rsidR="00000000" w:rsidDel="00000000" w:rsidP="00000000" w:rsidRDefault="00000000" w:rsidRPr="00000000" w14:paraId="00000004">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17"/>
          <w:szCs w:val="17"/>
          <w:u w:val="single"/>
        </w:rPr>
      </w:pPr>
      <w:r w:rsidDel="00000000" w:rsidR="00000000" w:rsidRPr="00000000">
        <w:rPr>
          <w:rFonts w:ascii="Times New Roman" w:cs="Times New Roman" w:eastAsia="Times New Roman" w:hAnsi="Times New Roman"/>
          <w:sz w:val="17"/>
          <w:szCs w:val="17"/>
          <w:u w:val="single"/>
          <w:rtl w:val="0"/>
        </w:rPr>
        <w:t xml:space="preserve">Formula for calculating marginal cost (MC)</w:t>
      </w:r>
    </w:p>
    <w:p w:rsidR="00000000" w:rsidDel="00000000" w:rsidP="00000000" w:rsidRDefault="00000000" w:rsidRPr="00000000" w14:paraId="00000006">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7">
      <w:pPr>
        <w:numPr>
          <w:ilvl w:val="0"/>
          <w:numId w:val="14"/>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MC = Δ TC / Δ Q.  TC is total cost, Q is quantity, and the delta symbol Δ means change.</w:t>
      </w:r>
    </w:p>
    <w:p w:rsidR="00000000" w:rsidDel="00000000" w:rsidP="00000000" w:rsidRDefault="00000000" w:rsidRPr="00000000" w14:paraId="00000008">
      <w:pPr>
        <w:numPr>
          <w:ilvl w:val="0"/>
          <w:numId w:val="8"/>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9">
      <w:pPr>
        <w:numPr>
          <w:ilvl w:val="0"/>
          <w:numId w:val="6"/>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To plug numbers into MC, we need to write MC a slightly different way.</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B">
      <w:pPr>
        <w:numPr>
          <w:ilvl w:val="0"/>
          <w:numId w:val="9"/>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MC = TC</w:t>
      </w:r>
      <w:r w:rsidDel="00000000" w:rsidR="00000000" w:rsidRPr="00000000">
        <w:rPr>
          <w:rFonts w:ascii="Times New Roman" w:cs="Times New Roman" w:eastAsia="Times New Roman" w:hAnsi="Times New Roman"/>
          <w:sz w:val="17"/>
          <w:szCs w:val="17"/>
          <w:u w:val="single"/>
          <w:vertAlign w:val="subscript"/>
          <w:rtl w:val="0"/>
        </w:rPr>
        <w:t xml:space="preserve"> 2</w:t>
      </w:r>
      <w:r w:rsidDel="00000000" w:rsidR="00000000" w:rsidRPr="00000000">
        <w:rPr>
          <w:rFonts w:ascii="Times New Roman" w:cs="Times New Roman" w:eastAsia="Times New Roman" w:hAnsi="Times New Roman"/>
          <w:sz w:val="17"/>
          <w:szCs w:val="17"/>
          <w:u w:val="single"/>
          <w:rtl w:val="0"/>
        </w:rPr>
        <w:t xml:space="preserve"> - TC</w:t>
      </w:r>
      <w:r w:rsidDel="00000000" w:rsidR="00000000" w:rsidRPr="00000000">
        <w:rPr>
          <w:rFonts w:ascii="Times New Roman" w:cs="Times New Roman" w:eastAsia="Times New Roman" w:hAnsi="Times New Roman"/>
          <w:sz w:val="17"/>
          <w:szCs w:val="17"/>
          <w:u w:val="single"/>
          <w:vertAlign w:val="subscript"/>
          <w:rtl w:val="0"/>
        </w:rPr>
        <w:t xml:space="preserve"> 1</w:t>
      </w:r>
      <w:r w:rsidDel="00000000" w:rsidR="00000000" w:rsidRPr="00000000">
        <w:rPr>
          <w:rFonts w:ascii="Times New Roman" w:cs="Times New Roman" w:eastAsia="Times New Roman" w:hAnsi="Times New Roman"/>
          <w:sz w:val="17"/>
          <w:szCs w:val="17"/>
          <w:u w:val="single"/>
          <w:rtl w:val="0"/>
        </w:rPr>
        <w:t xml:space="preserve"> / Q</w:t>
      </w:r>
      <w:r w:rsidDel="00000000" w:rsidR="00000000" w:rsidRPr="00000000">
        <w:rPr>
          <w:rFonts w:ascii="Times New Roman" w:cs="Times New Roman" w:eastAsia="Times New Roman" w:hAnsi="Times New Roman"/>
          <w:sz w:val="17"/>
          <w:szCs w:val="17"/>
          <w:u w:val="single"/>
          <w:vertAlign w:val="subscript"/>
          <w:rtl w:val="0"/>
        </w:rPr>
        <w:t xml:space="preserve"> 2</w:t>
      </w:r>
      <w:r w:rsidDel="00000000" w:rsidR="00000000" w:rsidRPr="00000000">
        <w:rPr>
          <w:rFonts w:ascii="Times New Roman" w:cs="Times New Roman" w:eastAsia="Times New Roman" w:hAnsi="Times New Roman"/>
          <w:sz w:val="17"/>
          <w:szCs w:val="17"/>
          <w:u w:val="single"/>
          <w:rtl w:val="0"/>
        </w:rPr>
        <w:t xml:space="preserve"> - Q</w:t>
      </w:r>
      <w:r w:rsidDel="00000000" w:rsidR="00000000" w:rsidRPr="00000000">
        <w:rPr>
          <w:rFonts w:ascii="Times New Roman" w:cs="Times New Roman" w:eastAsia="Times New Roman" w:hAnsi="Times New Roman"/>
          <w:sz w:val="17"/>
          <w:szCs w:val="17"/>
          <w:u w:val="single"/>
          <w:vertAlign w:val="subscript"/>
          <w:rtl w:val="0"/>
        </w:rPr>
        <w:t xml:space="preserve"> 1</w:t>
      </w:r>
      <w:r w:rsidDel="00000000" w:rsidR="00000000" w:rsidRPr="00000000">
        <w:rPr>
          <w:rFonts w:ascii="Times New Roman" w:cs="Times New Roman" w:eastAsia="Times New Roman" w:hAnsi="Times New Roman"/>
          <w:sz w:val="17"/>
          <w:szCs w:val="17"/>
          <w:u w:val="single"/>
          <w:rtl w:val="0"/>
        </w:rPr>
        <w:t xml:space="preserve">.  This the form that MC needs to be in to put numbers in it.</w:t>
      </w:r>
    </w:p>
    <w:p w:rsidR="00000000" w:rsidDel="00000000" w:rsidP="00000000" w:rsidRDefault="00000000" w:rsidRPr="00000000" w14:paraId="0000000C">
      <w:pPr>
        <w:numPr>
          <w:ilvl w:val="0"/>
          <w:numId w:val="1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D">
      <w:pPr>
        <w:numPr>
          <w:ilvl w:val="0"/>
          <w:numId w:val="7"/>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Follow the same approach for (MC = Δ TVC </w:t>
      </w:r>
      <w:r w:rsidDel="00000000" w:rsidR="00000000" w:rsidRPr="00000000">
        <w:rPr>
          <w:sz w:val="17"/>
          <w:szCs w:val="17"/>
          <w:u w:val="single"/>
          <w:rtl w:val="0"/>
        </w:rPr>
        <w:t xml:space="preserve">÷</w:t>
      </w:r>
      <w:r w:rsidDel="00000000" w:rsidR="00000000" w:rsidRPr="00000000">
        <w:rPr>
          <w:rFonts w:ascii="Times New Roman" w:cs="Times New Roman" w:eastAsia="Times New Roman" w:hAnsi="Times New Roman"/>
          <w:sz w:val="17"/>
          <w:szCs w:val="17"/>
          <w:u w:val="single"/>
          <w:rtl w:val="0"/>
        </w:rPr>
        <w:t xml:space="preserve"> Δ Q) that appears in the 8</w:t>
      </w:r>
      <w:r w:rsidDel="00000000" w:rsidR="00000000" w:rsidRPr="00000000">
        <w:rPr>
          <w:rFonts w:ascii="Times New Roman" w:cs="Times New Roman" w:eastAsia="Times New Roman" w:hAnsi="Times New Roman"/>
          <w:sz w:val="17"/>
          <w:szCs w:val="17"/>
          <w:u w:val="single"/>
          <w:vertAlign w:val="superscript"/>
          <w:rtl w:val="0"/>
        </w:rPr>
        <w:t xml:space="preserve">th</w:t>
      </w:r>
      <w:r w:rsidDel="00000000" w:rsidR="00000000" w:rsidRPr="00000000">
        <w:rPr>
          <w:rFonts w:ascii="Times New Roman" w:cs="Times New Roman" w:eastAsia="Times New Roman" w:hAnsi="Times New Roman"/>
          <w:sz w:val="17"/>
          <w:szCs w:val="17"/>
          <w:u w:val="single"/>
          <w:rtl w:val="0"/>
        </w:rPr>
        <w:t xml:space="preserve"> column in the second Cost Table in your readings.</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F">
      <w:pPr>
        <w:numPr>
          <w:ilvl w:val="0"/>
          <w:numId w:val="3"/>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Here is a sample problem for the MC to produce two units of output in the first Cost Table (8</w:t>
      </w:r>
      <w:r w:rsidDel="00000000" w:rsidR="00000000" w:rsidRPr="00000000">
        <w:rPr>
          <w:rFonts w:ascii="Times New Roman" w:cs="Times New Roman" w:eastAsia="Times New Roman" w:hAnsi="Times New Roman"/>
          <w:sz w:val="17"/>
          <w:szCs w:val="17"/>
          <w:u w:val="single"/>
          <w:vertAlign w:val="superscript"/>
          <w:rtl w:val="0"/>
        </w:rPr>
        <w:t xml:space="preserve">th</w:t>
      </w:r>
      <w:r w:rsidDel="00000000" w:rsidR="00000000" w:rsidRPr="00000000">
        <w:rPr>
          <w:rFonts w:ascii="Times New Roman" w:cs="Times New Roman" w:eastAsia="Times New Roman" w:hAnsi="Times New Roman"/>
          <w:sz w:val="17"/>
          <w:szCs w:val="17"/>
          <w:u w:val="single"/>
          <w:rtl w:val="0"/>
        </w:rPr>
        <w:t xml:space="preserve"> column)  Let’s look at the first two quantities 1 and 2.  Use columns 4 and 1 for your numbers. </w:t>
      </w:r>
    </w:p>
    <w:p w:rsidR="00000000" w:rsidDel="00000000" w:rsidP="00000000" w:rsidRDefault="00000000" w:rsidRPr="00000000" w14:paraId="00000010">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1">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MC = 41 - 35 / 2 -1</w:t>
      </w:r>
    </w:p>
    <w:p w:rsidR="00000000" w:rsidDel="00000000" w:rsidP="00000000" w:rsidRDefault="00000000" w:rsidRPr="00000000" w14:paraId="00000012">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w:t>
      </w:r>
    </w:p>
    <w:p w:rsidR="00000000" w:rsidDel="00000000" w:rsidP="00000000" w:rsidRDefault="00000000" w:rsidRPr="00000000" w14:paraId="00000013">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MC = 6 / 1</w:t>
      </w:r>
    </w:p>
    <w:p w:rsidR="00000000" w:rsidDel="00000000" w:rsidP="00000000" w:rsidRDefault="00000000" w:rsidRPr="00000000" w14:paraId="00000014">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w:t>
      </w:r>
    </w:p>
    <w:p w:rsidR="00000000" w:rsidDel="00000000" w:rsidP="00000000" w:rsidRDefault="00000000" w:rsidRPr="00000000" w14:paraId="00000015">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MC = 6</w:t>
      </w:r>
    </w:p>
    <w:p w:rsidR="00000000" w:rsidDel="00000000" w:rsidP="00000000" w:rsidRDefault="00000000" w:rsidRPr="00000000" w14:paraId="00000016">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7">
      <w:pPr>
        <w:numPr>
          <w:ilvl w:val="0"/>
          <w:numId w:val="11"/>
        </w:numPr>
        <w:spacing w:after="24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Just follow the instructions at the top of each column. They will tell you how to calculate the answer.  Thus, from the first Cost Table, the MC to produce two units of output is 6. That is the answer that we have above and is the same answer that appears in the second row of column 8.  The calculation above is how the answer was derived. </w:t>
      </w:r>
    </w:p>
    <w:p w:rsidR="00000000" w:rsidDel="00000000" w:rsidP="00000000" w:rsidRDefault="00000000" w:rsidRPr="00000000" w14:paraId="00000018">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Brief Quiz.  Briefly answer all questions. Show all work if required.</w:t>
      </w:r>
    </w:p>
    <w:p w:rsidR="00000000" w:rsidDel="00000000" w:rsidP="00000000" w:rsidRDefault="00000000" w:rsidRPr="00000000" w14:paraId="0000001B">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Brief answers.  </w:t>
      </w:r>
    </w:p>
    <w:p w:rsidR="00000000" w:rsidDel="00000000" w:rsidP="00000000" w:rsidRDefault="00000000" w:rsidRPr="00000000" w14:paraId="0000001D">
      <w:pPr>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E">
      <w:pPr>
        <w:numPr>
          <w:ilvl w:val="0"/>
          <w:numId w:val="4"/>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For both of the cost tables in your readings (SR Cost 2 and Cost Tab 1), take a look at the </w:t>
      </w:r>
    </w:p>
    <w:p w:rsidR="00000000" w:rsidDel="00000000" w:rsidP="00000000" w:rsidRDefault="00000000" w:rsidRPr="00000000" w14:paraId="0000001F">
      <w:pPr>
        <w:numPr>
          <w:ilvl w:val="0"/>
          <w:numId w:val="1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column 8 (marginal cost MC column). In your tables for the 8</w:t>
      </w:r>
      <w:r w:rsidDel="00000000" w:rsidR="00000000" w:rsidRPr="00000000">
        <w:rPr>
          <w:rFonts w:ascii="Times New Roman" w:cs="Times New Roman" w:eastAsia="Times New Roman" w:hAnsi="Times New Roman"/>
          <w:sz w:val="17"/>
          <w:szCs w:val="17"/>
          <w:vertAlign w:val="superscript"/>
          <w:rtl w:val="0"/>
        </w:rPr>
        <w:t xml:space="preserve">th</w:t>
      </w:r>
      <w:r w:rsidDel="00000000" w:rsidR="00000000" w:rsidRPr="00000000">
        <w:rPr>
          <w:rFonts w:ascii="Times New Roman" w:cs="Times New Roman" w:eastAsia="Times New Roman" w:hAnsi="Times New Roman"/>
          <w:sz w:val="17"/>
          <w:szCs w:val="17"/>
          <w:rtl w:val="0"/>
        </w:rPr>
        <w:t xml:space="preserve"> column, there are two </w:t>
      </w:r>
    </w:p>
    <w:p w:rsidR="00000000" w:rsidDel="00000000" w:rsidP="00000000" w:rsidRDefault="00000000" w:rsidRPr="00000000" w14:paraId="00000020">
      <w:pPr>
        <w:numPr>
          <w:ilvl w:val="0"/>
          <w:numId w:val="1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different formulas for calculating MC.  Why will both of those calculations give the</w:t>
      </w:r>
    </w:p>
    <w:p w:rsidR="00000000" w:rsidDel="00000000" w:rsidP="00000000" w:rsidRDefault="00000000" w:rsidRPr="00000000" w14:paraId="00000021">
      <w:pPr>
        <w:numPr>
          <w:ilvl w:val="0"/>
          <w:numId w:val="1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same answer?   </w:t>
      </w:r>
    </w:p>
    <w:p w:rsidR="00000000" w:rsidDel="00000000" w:rsidP="00000000" w:rsidRDefault="00000000" w:rsidRPr="00000000" w14:paraId="00000022">
      <w:pPr>
        <w:numPr>
          <w:ilvl w:val="0"/>
          <w:numId w:val="1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3">
      <w:pPr>
        <w:numPr>
          <w:ilvl w:val="0"/>
          <w:numId w:val="15"/>
        </w:numPr>
        <w:spacing w:after="24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They both will give you the same answer because you have to to plug in MC for both formulas. Mc is equal to TC and TVC</w:t>
      </w:r>
    </w:p>
    <w:p w:rsidR="00000000" w:rsidDel="00000000" w:rsidP="00000000" w:rsidRDefault="00000000" w:rsidRPr="00000000" w14:paraId="00000024">
      <w:pPr>
        <w:spacing w:after="240" w:befor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5">
      <w:pPr>
        <w:numPr>
          <w:ilvl w:val="0"/>
          <w:numId w:val="13"/>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Re-do the MC sample calculation, from the first Cost Table above, using the</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MC = Δ TVC </w:t>
      </w: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7"/>
          <w:szCs w:val="17"/>
          <w:rtl w:val="0"/>
        </w:rPr>
        <w:t xml:space="preserve"> Δ Q formula.  Show all work.  Are your answers the same?</w:t>
      </w:r>
    </w:p>
    <w:p w:rsidR="00000000" w:rsidDel="00000000" w:rsidP="00000000" w:rsidRDefault="00000000" w:rsidRPr="00000000" w14:paraId="00000027">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Now take another look at the question in 1.  What do you think? I Got the same answers. </w:t>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MC = 41 - 35 / 2 -1</w:t>
      </w:r>
    </w:p>
    <w:p w:rsidR="00000000" w:rsidDel="00000000" w:rsidP="00000000" w:rsidRDefault="00000000" w:rsidRPr="00000000" w14:paraId="0000002A">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w:t>
      </w:r>
    </w:p>
    <w:p w:rsidR="00000000" w:rsidDel="00000000" w:rsidP="00000000" w:rsidRDefault="00000000" w:rsidRPr="00000000" w14:paraId="0000002B">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MC = 6 / 1</w:t>
      </w:r>
    </w:p>
    <w:p w:rsidR="00000000" w:rsidDel="00000000" w:rsidP="00000000" w:rsidRDefault="00000000" w:rsidRPr="00000000" w14:paraId="0000002C">
      <w:pPr>
        <w:numPr>
          <w:ilvl w:val="0"/>
          <w:numId w:val="5"/>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w:t>
      </w:r>
    </w:p>
    <w:p w:rsidR="00000000" w:rsidDel="00000000" w:rsidP="00000000" w:rsidRDefault="00000000" w:rsidRPr="00000000" w14:paraId="0000002D">
      <w:pPr>
        <w:numPr>
          <w:ilvl w:val="0"/>
          <w:numId w:val="5"/>
        </w:numPr>
        <w:spacing w:after="240" w:before="0" w:beforeAutospacing="0" w:lineRule="auto"/>
        <w:ind w:left="720" w:hanging="36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u w:val="single"/>
          <w:rtl w:val="0"/>
        </w:rPr>
        <w:t xml:space="preserve">                          MC = 6</w:t>
      </w:r>
    </w:p>
    <w:p w:rsidR="00000000" w:rsidDel="00000000" w:rsidP="00000000" w:rsidRDefault="00000000" w:rsidRPr="00000000" w14:paraId="0000002E">
      <w:pPr>
        <w:spacing w:after="240" w:before="240" w:lineRule="auto"/>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