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06F" w:rsidRPr="00212768" w:rsidRDefault="00086F1B" w:rsidP="00285EC2">
      <w:pPr>
        <w:spacing w:after="0" w:line="240" w:lineRule="auto"/>
        <w:rPr>
          <w:rFonts w:ascii="Times New Roman" w:hAnsi="Times New Roman" w:cs="Times New Roman"/>
          <w:sz w:val="24"/>
          <w:szCs w:val="24"/>
        </w:rPr>
      </w:pPr>
      <w:r w:rsidRPr="00212768">
        <w:rPr>
          <w:rFonts w:ascii="Times New Roman" w:hAnsi="Times New Roman" w:cs="Times New Roman"/>
          <w:sz w:val="24"/>
          <w:szCs w:val="24"/>
        </w:rPr>
        <w:t xml:space="preserve">Student’s Name: </w:t>
      </w:r>
      <w:r w:rsidR="00AD206F" w:rsidRPr="00212768">
        <w:rPr>
          <w:rFonts w:ascii="Times New Roman" w:hAnsi="Times New Roman" w:cs="Times New Roman"/>
          <w:color w:val="000000"/>
          <w:sz w:val="24"/>
          <w:szCs w:val="24"/>
        </w:rPr>
        <w:t>Martisha Franklin</w:t>
      </w:r>
    </w:p>
    <w:p w:rsidR="00AD206F" w:rsidRPr="00212768" w:rsidRDefault="00086F1B" w:rsidP="00AD206F">
      <w:pPr>
        <w:pStyle w:val="NormalWeb"/>
        <w:spacing w:before="0" w:beforeAutospacing="0" w:after="160" w:afterAutospacing="0"/>
        <w:rPr>
          <w:color w:val="000000"/>
        </w:rPr>
      </w:pPr>
      <w:r w:rsidRPr="00212768">
        <w:t xml:space="preserve">Student’s Major: </w:t>
      </w:r>
      <w:r w:rsidR="00AD206F" w:rsidRPr="00212768">
        <w:rPr>
          <w:color w:val="000000"/>
        </w:rPr>
        <w:t>Biology</w:t>
      </w:r>
      <w:bookmarkStart w:id="0" w:name="_GoBack"/>
      <w:bookmarkEnd w:id="0"/>
    </w:p>
    <w:p w:rsidR="00AD206F" w:rsidRPr="00212768" w:rsidRDefault="00086F1B" w:rsidP="00285EC2">
      <w:pPr>
        <w:spacing w:after="0" w:line="240" w:lineRule="auto"/>
        <w:rPr>
          <w:rFonts w:ascii="Times New Roman" w:hAnsi="Times New Roman" w:cs="Times New Roman"/>
          <w:color w:val="000000"/>
          <w:sz w:val="24"/>
          <w:szCs w:val="24"/>
        </w:rPr>
      </w:pPr>
      <w:r w:rsidRPr="00212768">
        <w:rPr>
          <w:rFonts w:ascii="Times New Roman" w:hAnsi="Times New Roman" w:cs="Times New Roman"/>
          <w:sz w:val="24"/>
          <w:szCs w:val="24"/>
        </w:rPr>
        <w:t xml:space="preserve">Faculty Mentor’s Name: </w:t>
      </w:r>
      <w:r w:rsidR="00AD206F" w:rsidRPr="00212768">
        <w:rPr>
          <w:rFonts w:ascii="Times New Roman" w:hAnsi="Times New Roman" w:cs="Times New Roman"/>
          <w:color w:val="000000"/>
          <w:sz w:val="24"/>
          <w:szCs w:val="24"/>
        </w:rPr>
        <w:t xml:space="preserve">Dr. </w:t>
      </w:r>
      <w:r w:rsidRPr="00212768">
        <w:rPr>
          <w:rFonts w:ascii="Times New Roman" w:hAnsi="Times New Roman" w:cs="Times New Roman"/>
          <w:color w:val="000000"/>
          <w:sz w:val="24"/>
          <w:szCs w:val="24"/>
        </w:rPr>
        <w:t xml:space="preserve">Andrew </w:t>
      </w:r>
      <w:r w:rsidR="00AD206F" w:rsidRPr="00212768">
        <w:rPr>
          <w:rFonts w:ascii="Times New Roman" w:hAnsi="Times New Roman" w:cs="Times New Roman"/>
          <w:color w:val="000000"/>
          <w:sz w:val="24"/>
          <w:szCs w:val="24"/>
        </w:rPr>
        <w:t xml:space="preserve">Sabalowsky </w:t>
      </w:r>
    </w:p>
    <w:p w:rsidR="00AD206F" w:rsidRPr="00212768" w:rsidRDefault="00AD206F" w:rsidP="00AD206F">
      <w:pPr>
        <w:pStyle w:val="NormalWeb"/>
        <w:spacing w:before="0" w:beforeAutospacing="0" w:after="160" w:afterAutospacing="0"/>
        <w:rPr>
          <w:color w:val="000000"/>
        </w:rPr>
      </w:pPr>
      <w:r w:rsidRPr="00212768">
        <w:rPr>
          <w:color w:val="000000"/>
        </w:rPr>
        <w:t>Poster Presentation</w:t>
      </w:r>
    </w:p>
    <w:p w:rsidR="00AD206F" w:rsidRPr="00212768" w:rsidRDefault="00AD206F" w:rsidP="00AD206F">
      <w:pPr>
        <w:pStyle w:val="NormalWeb"/>
        <w:spacing w:before="0" w:beforeAutospacing="0" w:after="160" w:afterAutospacing="0"/>
        <w:rPr>
          <w:color w:val="000000"/>
        </w:rPr>
      </w:pPr>
    </w:p>
    <w:p w:rsidR="00AD206F" w:rsidRPr="00212768" w:rsidRDefault="00AD206F" w:rsidP="00262DDC">
      <w:pPr>
        <w:pStyle w:val="NormalWeb"/>
        <w:spacing w:before="0" w:beforeAutospacing="0" w:after="160" w:afterAutospacing="0"/>
        <w:jc w:val="center"/>
        <w:rPr>
          <w:b/>
          <w:color w:val="000000"/>
        </w:rPr>
      </w:pPr>
      <w:r w:rsidRPr="00212768">
        <w:rPr>
          <w:b/>
          <w:color w:val="000000"/>
        </w:rPr>
        <w:t xml:space="preserve">Assessing </w:t>
      </w:r>
      <w:r w:rsidR="00086F1B" w:rsidRPr="00212768">
        <w:rPr>
          <w:b/>
          <w:color w:val="000000"/>
        </w:rPr>
        <w:t>a low-pH-Tolerant Enrichment Culture for</w:t>
      </w:r>
      <w:r w:rsidR="00262DDC" w:rsidRPr="00212768">
        <w:rPr>
          <w:b/>
          <w:color w:val="000000"/>
        </w:rPr>
        <w:t xml:space="preserve"> Remediation of Chlorinated Solvents at the Savannah River Site</w:t>
      </w:r>
    </w:p>
    <w:p w:rsidR="00AD206F" w:rsidRPr="00212768" w:rsidRDefault="00AD206F" w:rsidP="00D823DB">
      <w:pPr>
        <w:pStyle w:val="NormalWeb"/>
        <w:spacing w:before="0" w:beforeAutospacing="0" w:after="160" w:afterAutospacing="0"/>
        <w:rPr>
          <w:color w:val="000000"/>
        </w:rPr>
      </w:pPr>
    </w:p>
    <w:p w:rsidR="00D823DB" w:rsidRPr="00212768" w:rsidRDefault="00D823DB" w:rsidP="00D823DB">
      <w:pPr>
        <w:pStyle w:val="NormalWeb"/>
        <w:spacing w:before="0" w:beforeAutospacing="0" w:after="160" w:afterAutospacing="0"/>
      </w:pPr>
      <w:r w:rsidRPr="00212768">
        <w:rPr>
          <w:color w:val="000000"/>
        </w:rPr>
        <w:t xml:space="preserve">Throughout the 1900’s, </w:t>
      </w:r>
      <w:r w:rsidR="00086F1B" w:rsidRPr="00212768">
        <w:rPr>
          <w:color w:val="000000"/>
        </w:rPr>
        <w:t xml:space="preserve">the </w:t>
      </w:r>
      <w:r w:rsidRPr="00212768">
        <w:rPr>
          <w:color w:val="000000"/>
        </w:rPr>
        <w:t>solvents tetrachloroethylene (PCE) and trichloroethylene (TCE) have been dumped or leaked into the groundwater by paint strippers, dry cleaning, automotive and aircraft industries. Due to the past disposal practices PCE and TCE ha</w:t>
      </w:r>
      <w:r w:rsidR="004537F5" w:rsidRPr="00212768">
        <w:rPr>
          <w:color w:val="000000"/>
        </w:rPr>
        <w:t>ve</w:t>
      </w:r>
      <w:r w:rsidRPr="00212768">
        <w:rPr>
          <w:color w:val="000000"/>
        </w:rPr>
        <w:t xml:space="preserve"> had decades to spread through the groundwater</w:t>
      </w:r>
      <w:r w:rsidR="004537F5" w:rsidRPr="00212768">
        <w:rPr>
          <w:color w:val="000000"/>
        </w:rPr>
        <w:t>, and are known toxins, carcinogens, and mutagens</w:t>
      </w:r>
      <w:r w:rsidRPr="00212768">
        <w:rPr>
          <w:color w:val="000000"/>
        </w:rPr>
        <w:t>. The U</w:t>
      </w:r>
      <w:r w:rsidR="004537F5" w:rsidRPr="00212768">
        <w:rPr>
          <w:color w:val="000000"/>
        </w:rPr>
        <w:t>.</w:t>
      </w:r>
      <w:r w:rsidRPr="00212768">
        <w:rPr>
          <w:color w:val="000000"/>
        </w:rPr>
        <w:t>S</w:t>
      </w:r>
      <w:r w:rsidR="004537F5" w:rsidRPr="00212768">
        <w:rPr>
          <w:color w:val="000000"/>
        </w:rPr>
        <w:t>.</w:t>
      </w:r>
      <w:r w:rsidRPr="00212768">
        <w:rPr>
          <w:color w:val="000000"/>
        </w:rPr>
        <w:t xml:space="preserve"> Department of Energy’s Savannah River Site (SRS) has multiple groundwater </w:t>
      </w:r>
      <w:r w:rsidR="00086F1B" w:rsidRPr="00212768">
        <w:rPr>
          <w:color w:val="000000"/>
        </w:rPr>
        <w:t xml:space="preserve">plumes </w:t>
      </w:r>
      <w:r w:rsidRPr="00212768">
        <w:rPr>
          <w:color w:val="000000"/>
        </w:rPr>
        <w:t xml:space="preserve">contaminated with chlorinated ethenes (CEs). A patented anaerobic </w:t>
      </w:r>
      <w:r w:rsidR="00086F1B" w:rsidRPr="00212768">
        <w:rPr>
          <w:color w:val="000000"/>
        </w:rPr>
        <w:t xml:space="preserve">enrichment </w:t>
      </w:r>
      <w:r w:rsidRPr="00212768">
        <w:rPr>
          <w:color w:val="000000"/>
        </w:rPr>
        <w:t xml:space="preserve">culture </w:t>
      </w:r>
      <w:r w:rsidR="00086F1B" w:rsidRPr="00212768">
        <w:rPr>
          <w:iCs/>
          <w:color w:val="000000"/>
        </w:rPr>
        <w:t>(</w:t>
      </w:r>
      <w:r w:rsidR="00086F1B" w:rsidRPr="00212768">
        <w:rPr>
          <w:color w:val="000000"/>
        </w:rPr>
        <w:t xml:space="preserve">microCED) </w:t>
      </w:r>
      <w:r w:rsidRPr="00212768">
        <w:rPr>
          <w:color w:val="000000"/>
        </w:rPr>
        <w:t xml:space="preserve">containing </w:t>
      </w:r>
      <w:r w:rsidRPr="00212768">
        <w:rPr>
          <w:i/>
          <w:iCs/>
          <w:color w:val="000000"/>
        </w:rPr>
        <w:t>Dehalococcoides ethenogenes</w:t>
      </w:r>
      <w:r w:rsidRPr="00212768">
        <w:rPr>
          <w:color w:val="000000"/>
        </w:rPr>
        <w:t>, known to be the only organisms to completely dechlorinate PCE to ethene (ETH)</w:t>
      </w:r>
      <w:r w:rsidR="00086F1B" w:rsidRPr="00212768">
        <w:rPr>
          <w:color w:val="000000"/>
        </w:rPr>
        <w:t>, was characterized in this research</w:t>
      </w:r>
      <w:r w:rsidRPr="00212768">
        <w:rPr>
          <w:color w:val="000000"/>
        </w:rPr>
        <w:t xml:space="preserve">. </w:t>
      </w:r>
      <w:proofErr w:type="gramStart"/>
      <w:r w:rsidR="00086F1B" w:rsidRPr="00212768">
        <w:rPr>
          <w:color w:val="000000"/>
        </w:rPr>
        <w:t>One enrichment</w:t>
      </w:r>
      <w:proofErr w:type="gramEnd"/>
      <w:r w:rsidR="00086F1B" w:rsidRPr="00212768">
        <w:rPr>
          <w:color w:val="000000"/>
        </w:rPr>
        <w:t xml:space="preserve"> of the</w:t>
      </w:r>
      <w:r w:rsidRPr="00212768">
        <w:rPr>
          <w:color w:val="000000"/>
        </w:rPr>
        <w:t xml:space="preserve"> microCED culture can dechlorinate at a 5.4 pH</w:t>
      </w:r>
      <w:r w:rsidR="00086F1B" w:rsidRPr="00212768">
        <w:rPr>
          <w:color w:val="000000"/>
        </w:rPr>
        <w:t>,</w:t>
      </w:r>
      <w:r w:rsidRPr="00212768">
        <w:rPr>
          <w:color w:val="000000"/>
        </w:rPr>
        <w:t xml:space="preserve"> </w:t>
      </w:r>
      <w:r w:rsidR="00086F1B" w:rsidRPr="00212768">
        <w:rPr>
          <w:color w:val="000000"/>
        </w:rPr>
        <w:t>which</w:t>
      </w:r>
      <w:r w:rsidRPr="00212768">
        <w:rPr>
          <w:color w:val="000000"/>
        </w:rPr>
        <w:t xml:space="preserve"> is advantageous because reductive dechlorination produces acid, which decreases the pH</w:t>
      </w:r>
      <w:r w:rsidR="00086F1B" w:rsidRPr="00212768">
        <w:rPr>
          <w:color w:val="000000"/>
        </w:rPr>
        <w:t xml:space="preserve"> in the field</w:t>
      </w:r>
      <w:r w:rsidRPr="00212768">
        <w:rPr>
          <w:color w:val="000000"/>
        </w:rPr>
        <w:t>. It has been observed that if the pH becomes as low as a 4 these microbes will not be able to dechlorinate because of the low pH condition. The low pH- tolerant culture was tested for dechlorination rates of PCE, TCE, and the daughter products, cis-1, 2-dichlorothene (cDCE) and Vinyl chloride (VC). Our data characterize the</w:t>
      </w:r>
      <w:r w:rsidR="00086F1B" w:rsidRPr="00212768">
        <w:rPr>
          <w:color w:val="000000"/>
        </w:rPr>
        <w:t xml:space="preserve"> dechlorination</w:t>
      </w:r>
      <w:r w:rsidRPr="00212768">
        <w:rPr>
          <w:color w:val="000000"/>
        </w:rPr>
        <w:t xml:space="preserve"> rates of the low-pH culture, as well as their half-saturation coefficients. Future work will relate the rates to relevant gene presence and quantities</w:t>
      </w:r>
      <w:r w:rsidR="00086F1B" w:rsidRPr="00212768">
        <w:rPr>
          <w:color w:val="000000"/>
        </w:rPr>
        <w:t xml:space="preserve">, including the presence of </w:t>
      </w:r>
      <w:r w:rsidR="00086F1B" w:rsidRPr="00212768">
        <w:rPr>
          <w:i/>
          <w:color w:val="000000"/>
        </w:rPr>
        <w:t>Dehalococcoides</w:t>
      </w:r>
      <w:r w:rsidR="00086F1B" w:rsidRPr="00212768">
        <w:rPr>
          <w:color w:val="000000"/>
        </w:rPr>
        <w:t xml:space="preserve">, and the reductive dehalogenase enzymes: </w:t>
      </w:r>
      <w:r w:rsidR="00086F1B" w:rsidRPr="00212768">
        <w:rPr>
          <w:i/>
          <w:color w:val="000000"/>
        </w:rPr>
        <w:t>bvcA</w:t>
      </w:r>
      <w:r w:rsidR="00086F1B" w:rsidRPr="00212768">
        <w:rPr>
          <w:color w:val="000000"/>
        </w:rPr>
        <w:t xml:space="preserve">, </w:t>
      </w:r>
      <w:r w:rsidR="00086F1B" w:rsidRPr="00212768">
        <w:rPr>
          <w:i/>
          <w:color w:val="000000"/>
        </w:rPr>
        <w:t>vcrA</w:t>
      </w:r>
      <w:r w:rsidR="00086F1B" w:rsidRPr="00212768">
        <w:rPr>
          <w:color w:val="000000"/>
        </w:rPr>
        <w:t xml:space="preserve">, </w:t>
      </w:r>
      <w:r w:rsidR="00086F1B" w:rsidRPr="00212768">
        <w:rPr>
          <w:i/>
          <w:color w:val="000000"/>
        </w:rPr>
        <w:t>tceA</w:t>
      </w:r>
      <w:r w:rsidR="00086F1B" w:rsidRPr="00212768">
        <w:rPr>
          <w:color w:val="000000"/>
        </w:rPr>
        <w:t xml:space="preserve">, and </w:t>
      </w:r>
      <w:r w:rsidR="00086F1B" w:rsidRPr="00212768">
        <w:rPr>
          <w:i/>
          <w:color w:val="000000"/>
        </w:rPr>
        <w:t>pceA</w:t>
      </w:r>
      <w:r w:rsidR="00AD206F" w:rsidRPr="00212768">
        <w:rPr>
          <w:color w:val="000000"/>
        </w:rPr>
        <w:t>.</w:t>
      </w:r>
    </w:p>
    <w:p w:rsidR="00097629" w:rsidRPr="00212768" w:rsidRDefault="00097629">
      <w:pPr>
        <w:rPr>
          <w:rFonts w:ascii="Times New Roman" w:hAnsi="Times New Roman" w:cs="Times New Roman"/>
          <w:sz w:val="24"/>
          <w:szCs w:val="24"/>
        </w:rPr>
      </w:pPr>
    </w:p>
    <w:sectPr w:rsidR="00097629" w:rsidRPr="002127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24F" w:rsidRDefault="0077024F" w:rsidP="00AD206F">
      <w:pPr>
        <w:spacing w:after="0" w:line="240" w:lineRule="auto"/>
      </w:pPr>
      <w:r>
        <w:separator/>
      </w:r>
    </w:p>
  </w:endnote>
  <w:endnote w:type="continuationSeparator" w:id="0">
    <w:p w:rsidR="0077024F" w:rsidRDefault="0077024F" w:rsidP="00AD2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24F" w:rsidRDefault="0077024F" w:rsidP="00AD206F">
      <w:pPr>
        <w:spacing w:after="0" w:line="240" w:lineRule="auto"/>
      </w:pPr>
      <w:r>
        <w:separator/>
      </w:r>
    </w:p>
  </w:footnote>
  <w:footnote w:type="continuationSeparator" w:id="0">
    <w:p w:rsidR="0077024F" w:rsidRDefault="0077024F" w:rsidP="00AD20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3DB"/>
    <w:rsid w:val="00086F1B"/>
    <w:rsid w:val="00097629"/>
    <w:rsid w:val="001A2F3B"/>
    <w:rsid w:val="001E023D"/>
    <w:rsid w:val="00212768"/>
    <w:rsid w:val="00262DDC"/>
    <w:rsid w:val="00285EC2"/>
    <w:rsid w:val="00396952"/>
    <w:rsid w:val="004537F5"/>
    <w:rsid w:val="0077024F"/>
    <w:rsid w:val="00AD206F"/>
    <w:rsid w:val="00B15ACB"/>
    <w:rsid w:val="00D823DB"/>
    <w:rsid w:val="00FA0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23D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D2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206F"/>
  </w:style>
  <w:style w:type="paragraph" w:styleId="Footer">
    <w:name w:val="footer"/>
    <w:basedOn w:val="Normal"/>
    <w:link w:val="FooterChar"/>
    <w:uiPriority w:val="99"/>
    <w:unhideWhenUsed/>
    <w:rsid w:val="00AD2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206F"/>
  </w:style>
  <w:style w:type="paragraph" w:styleId="BalloonText">
    <w:name w:val="Balloon Text"/>
    <w:basedOn w:val="Normal"/>
    <w:link w:val="BalloonTextChar"/>
    <w:uiPriority w:val="99"/>
    <w:semiHidden/>
    <w:unhideWhenUsed/>
    <w:rsid w:val="00086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F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23D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D2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206F"/>
  </w:style>
  <w:style w:type="paragraph" w:styleId="Footer">
    <w:name w:val="footer"/>
    <w:basedOn w:val="Normal"/>
    <w:link w:val="FooterChar"/>
    <w:uiPriority w:val="99"/>
    <w:unhideWhenUsed/>
    <w:rsid w:val="00AD2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206F"/>
  </w:style>
  <w:style w:type="paragraph" w:styleId="BalloonText">
    <w:name w:val="Balloon Text"/>
    <w:basedOn w:val="Normal"/>
    <w:link w:val="BalloonTextChar"/>
    <w:uiPriority w:val="99"/>
    <w:semiHidden/>
    <w:unhideWhenUsed/>
    <w:rsid w:val="00086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F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29181">
      <w:bodyDiv w:val="1"/>
      <w:marLeft w:val="0"/>
      <w:marRight w:val="0"/>
      <w:marTop w:val="0"/>
      <w:marBottom w:val="0"/>
      <w:divBdr>
        <w:top w:val="none" w:sz="0" w:space="0" w:color="auto"/>
        <w:left w:val="none" w:sz="0" w:space="0" w:color="auto"/>
        <w:bottom w:val="none" w:sz="0" w:space="0" w:color="auto"/>
        <w:right w:val="none" w:sz="0" w:space="0" w:color="auto"/>
      </w:divBdr>
    </w:div>
    <w:div w:id="988285018">
      <w:bodyDiv w:val="1"/>
      <w:marLeft w:val="0"/>
      <w:marRight w:val="0"/>
      <w:marTop w:val="0"/>
      <w:marBottom w:val="0"/>
      <w:divBdr>
        <w:top w:val="none" w:sz="0" w:space="0" w:color="auto"/>
        <w:left w:val="none" w:sz="0" w:space="0" w:color="auto"/>
        <w:bottom w:val="none" w:sz="0" w:space="0" w:color="auto"/>
        <w:right w:val="none" w:sz="0" w:space="0" w:color="auto"/>
      </w:divBdr>
    </w:div>
    <w:div w:id="129775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Andy</cp:lastModifiedBy>
  <cp:revision>4</cp:revision>
  <dcterms:created xsi:type="dcterms:W3CDTF">2016-07-14T20:41:00Z</dcterms:created>
  <dcterms:modified xsi:type="dcterms:W3CDTF">2016-07-14T20:44:00Z</dcterms:modified>
</cp:coreProperties>
</file>