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9718A74" w14:paraId="2C078E63" wp14:textId="2B24C027">
      <w:pPr>
        <w:spacing w:line="480" w:lineRule="auto"/>
      </w:pPr>
      <w:bookmarkStart w:name="_GoBack" w:id="0"/>
      <w:bookmarkEnd w:id="0"/>
      <w:r w:rsidRPr="39718A74" w:rsidR="39718A74">
        <w:rPr>
          <w:rFonts w:ascii="Times New Roman" w:hAnsi="Times New Roman" w:eastAsia="Times New Roman" w:cs="Times New Roman"/>
          <w:sz w:val="24"/>
          <w:szCs w:val="24"/>
        </w:rPr>
        <w:t>Nicholas Mathews</w:t>
      </w:r>
    </w:p>
    <w:p w:rsidR="39718A74" w:rsidP="39718A74" w:rsidRDefault="39718A74" w14:paraId="7A8DB972" w14:textId="2C13C4B5">
      <w:pPr>
        <w:pStyle w:val="Normal"/>
        <w:spacing w:line="480" w:lineRule="auto"/>
        <w:rPr>
          <w:rFonts w:ascii="Times New Roman" w:hAnsi="Times New Roman" w:eastAsia="Times New Roman" w:cs="Times New Roman"/>
          <w:sz w:val="24"/>
          <w:szCs w:val="24"/>
        </w:rPr>
      </w:pPr>
      <w:r w:rsidRPr="39718A74" w:rsidR="39718A74">
        <w:rPr>
          <w:rFonts w:ascii="Times New Roman" w:hAnsi="Times New Roman" w:eastAsia="Times New Roman" w:cs="Times New Roman"/>
          <w:sz w:val="24"/>
          <w:szCs w:val="24"/>
        </w:rPr>
        <w:t>Denis Bergin</w:t>
      </w:r>
    </w:p>
    <w:p w:rsidR="39718A74" w:rsidP="39718A74" w:rsidRDefault="39718A74" w14:paraId="349443FB" w14:textId="64909848">
      <w:pPr>
        <w:pStyle w:val="Normal"/>
        <w:spacing w:line="480" w:lineRule="auto"/>
        <w:rPr>
          <w:rFonts w:ascii="Times New Roman" w:hAnsi="Times New Roman" w:eastAsia="Times New Roman" w:cs="Times New Roman"/>
          <w:sz w:val="24"/>
          <w:szCs w:val="24"/>
        </w:rPr>
      </w:pPr>
      <w:r w:rsidRPr="39718A74" w:rsidR="39718A74">
        <w:rPr>
          <w:rFonts w:ascii="Times New Roman" w:hAnsi="Times New Roman" w:eastAsia="Times New Roman" w:cs="Times New Roman"/>
          <w:sz w:val="24"/>
          <w:szCs w:val="24"/>
        </w:rPr>
        <w:t>PL-223</w:t>
      </w:r>
    </w:p>
    <w:p w:rsidR="39718A74" w:rsidP="39718A74" w:rsidRDefault="39718A74" w14:paraId="2119C5D1" w14:textId="7D5206F3">
      <w:pPr>
        <w:pStyle w:val="Normal"/>
        <w:spacing w:line="480" w:lineRule="auto"/>
        <w:rPr>
          <w:rFonts w:ascii="Times New Roman" w:hAnsi="Times New Roman" w:eastAsia="Times New Roman" w:cs="Times New Roman"/>
          <w:sz w:val="24"/>
          <w:szCs w:val="24"/>
        </w:rPr>
      </w:pPr>
      <w:r w:rsidRPr="39718A74" w:rsidR="39718A74">
        <w:rPr>
          <w:rFonts w:ascii="Times New Roman" w:hAnsi="Times New Roman" w:eastAsia="Times New Roman" w:cs="Times New Roman"/>
          <w:sz w:val="24"/>
          <w:szCs w:val="24"/>
        </w:rPr>
        <w:t>July 16</w:t>
      </w:r>
      <w:r w:rsidRPr="39718A74" w:rsidR="39718A74">
        <w:rPr>
          <w:rFonts w:ascii="Times New Roman" w:hAnsi="Times New Roman" w:eastAsia="Times New Roman" w:cs="Times New Roman"/>
          <w:sz w:val="24"/>
          <w:szCs w:val="24"/>
          <w:vertAlign w:val="superscript"/>
        </w:rPr>
        <w:t>th</w:t>
      </w:r>
      <w:r w:rsidRPr="39718A74" w:rsidR="39718A74">
        <w:rPr>
          <w:rFonts w:ascii="Times New Roman" w:hAnsi="Times New Roman" w:eastAsia="Times New Roman" w:cs="Times New Roman"/>
          <w:sz w:val="24"/>
          <w:szCs w:val="24"/>
        </w:rPr>
        <w:t>, 2020</w:t>
      </w:r>
    </w:p>
    <w:p w:rsidR="39718A74" w:rsidP="39718A74" w:rsidRDefault="39718A74" w14:paraId="7D22C2F5" w14:textId="116B0063">
      <w:pPr>
        <w:pStyle w:val="Normal"/>
        <w:spacing w:line="480" w:lineRule="auto"/>
        <w:ind w:left="2880" w:firstLine="0"/>
        <w:rPr>
          <w:rFonts w:ascii="Times New Roman" w:hAnsi="Times New Roman" w:eastAsia="Times New Roman" w:cs="Times New Roman"/>
          <w:sz w:val="24"/>
          <w:szCs w:val="24"/>
        </w:rPr>
      </w:pPr>
      <w:r w:rsidRPr="39718A74" w:rsidR="39718A74">
        <w:rPr>
          <w:rFonts w:ascii="Times New Roman" w:hAnsi="Times New Roman" w:eastAsia="Times New Roman" w:cs="Times New Roman"/>
          <w:sz w:val="24"/>
          <w:szCs w:val="24"/>
        </w:rPr>
        <w:t>Chapter 5 Questions 1 &amp; 4</w:t>
      </w:r>
    </w:p>
    <w:p w:rsidR="39718A74" w:rsidP="39718A74" w:rsidRDefault="39718A74" w14:paraId="4315D233" w14:textId="771770B8">
      <w:pPr>
        <w:pStyle w:val="ListParagraph"/>
        <w:numPr>
          <w:ilvl w:val="0"/>
          <w:numId w:val="3"/>
        </w:numPr>
        <w:spacing w:line="480" w:lineRule="auto"/>
        <w:rPr>
          <w:rFonts w:ascii="Times New Roman" w:hAnsi="Times New Roman" w:eastAsia="Times New Roman" w:cs="Times New Roman"/>
          <w:sz w:val="24"/>
          <w:szCs w:val="24"/>
        </w:rPr>
      </w:pPr>
      <w:r w:rsidRPr="39718A74" w:rsidR="39718A74">
        <w:rPr>
          <w:rFonts w:ascii="Times New Roman" w:hAnsi="Times New Roman" w:eastAsia="Times New Roman" w:cs="Times New Roman"/>
          <w:sz w:val="24"/>
          <w:szCs w:val="24"/>
        </w:rPr>
        <w:t xml:space="preserve">In my opinion, I think a defendant can prevent a court from entering a verdict of “Guilty but Mentally Ill,” by telling the court that he or she was in the right state of mind, wasn’t insane or mentally ill. The court will still look at evidence to try to figure out if that is true or not. The other way the defendant may prevent the court from GBMI is to try to prove that he or she was insane at the time of the crime, because if found insane that would fall under the </w:t>
      </w:r>
      <w:proofErr w:type="spellStart"/>
      <w:r w:rsidRPr="39718A74" w:rsidR="39718A74">
        <w:rPr>
          <w:rFonts w:ascii="Times New Roman" w:hAnsi="Times New Roman" w:eastAsia="Times New Roman" w:cs="Times New Roman"/>
          <w:sz w:val="24"/>
          <w:szCs w:val="24"/>
        </w:rPr>
        <w:t>M’Naghten</w:t>
      </w:r>
      <w:proofErr w:type="spellEnd"/>
      <w:r w:rsidRPr="39718A74" w:rsidR="39718A74">
        <w:rPr>
          <w:rFonts w:ascii="Times New Roman" w:hAnsi="Times New Roman" w:eastAsia="Times New Roman" w:cs="Times New Roman"/>
          <w:sz w:val="24"/>
          <w:szCs w:val="24"/>
        </w:rPr>
        <w:t xml:space="preserve"> Rule. The State v, Clifton case, there was a double jeopardy issue, and the state filed a motion to have her found GBMI, even after she didn’t want to be tried like that. They went against </w:t>
      </w:r>
      <w:r w:rsidRPr="39718A74" w:rsidR="39718A74">
        <w:rPr>
          <w:rFonts w:ascii="Times New Roman" w:hAnsi="Times New Roman" w:eastAsia="Times New Roman" w:cs="Times New Roman"/>
          <w:sz w:val="24"/>
          <w:szCs w:val="24"/>
        </w:rPr>
        <w:t>someone's</w:t>
      </w:r>
      <w:r w:rsidRPr="39718A74" w:rsidR="39718A74">
        <w:rPr>
          <w:rFonts w:ascii="Times New Roman" w:hAnsi="Times New Roman" w:eastAsia="Times New Roman" w:cs="Times New Roman"/>
          <w:sz w:val="24"/>
          <w:szCs w:val="24"/>
        </w:rPr>
        <w:t xml:space="preserve"> rights to have her tried their way.</w:t>
      </w:r>
    </w:p>
    <w:p w:rsidR="39718A74" w:rsidP="39718A74" w:rsidRDefault="39718A74" w14:paraId="257048C1" w14:textId="52515B49">
      <w:pPr>
        <w:pStyle w:val="Normal"/>
        <w:spacing w:line="480" w:lineRule="auto"/>
        <w:ind w:left="360"/>
        <w:rPr>
          <w:rFonts w:ascii="Times New Roman" w:hAnsi="Times New Roman" w:eastAsia="Times New Roman" w:cs="Times New Roman"/>
          <w:sz w:val="24"/>
          <w:szCs w:val="24"/>
        </w:rPr>
      </w:pPr>
      <w:r w:rsidRPr="39718A74" w:rsidR="39718A74">
        <w:rPr>
          <w:rFonts w:ascii="Times New Roman" w:hAnsi="Times New Roman" w:eastAsia="Times New Roman" w:cs="Times New Roman"/>
          <w:sz w:val="24"/>
          <w:szCs w:val="24"/>
        </w:rPr>
        <w:t xml:space="preserve">4. A diminished capacity defense is a defense for criminal responsibility based on the fact that because of mental or emotional </w:t>
      </w:r>
      <w:r w:rsidRPr="39718A74" w:rsidR="39718A74">
        <w:rPr>
          <w:rFonts w:ascii="Times New Roman" w:hAnsi="Times New Roman" w:eastAsia="Times New Roman" w:cs="Times New Roman"/>
          <w:sz w:val="24"/>
          <w:szCs w:val="24"/>
        </w:rPr>
        <w:t>conditions, the</w:t>
      </w:r>
      <w:r w:rsidRPr="39718A74" w:rsidR="39718A74">
        <w:rPr>
          <w:rFonts w:ascii="Times New Roman" w:hAnsi="Times New Roman" w:eastAsia="Times New Roman" w:cs="Times New Roman"/>
          <w:sz w:val="24"/>
          <w:szCs w:val="24"/>
        </w:rPr>
        <w:t xml:space="preserve"> defendant did not possess the required </w:t>
      </w:r>
      <w:proofErr w:type="spellStart"/>
      <w:r w:rsidRPr="39718A74" w:rsidR="39718A74">
        <w:rPr>
          <w:rFonts w:ascii="Times New Roman" w:hAnsi="Times New Roman" w:eastAsia="Times New Roman" w:cs="Times New Roman"/>
          <w:sz w:val="24"/>
          <w:szCs w:val="24"/>
        </w:rPr>
        <w:t>mens</w:t>
      </w:r>
      <w:proofErr w:type="spellEnd"/>
      <w:r w:rsidRPr="39718A74" w:rsidR="39718A74">
        <w:rPr>
          <w:rFonts w:ascii="Times New Roman" w:hAnsi="Times New Roman" w:eastAsia="Times New Roman" w:cs="Times New Roman"/>
          <w:sz w:val="24"/>
          <w:szCs w:val="24"/>
        </w:rPr>
        <w:t xml:space="preserve"> rea for conviction of crime charged. Under the diminished capacity defense, I think the rape and burglary can be rebutted by the defense, but for murder, I think they </w:t>
      </w:r>
      <w:proofErr w:type="gramStart"/>
      <w:r w:rsidRPr="39718A74" w:rsidR="39718A74">
        <w:rPr>
          <w:rFonts w:ascii="Times New Roman" w:hAnsi="Times New Roman" w:eastAsia="Times New Roman" w:cs="Times New Roman"/>
          <w:sz w:val="24"/>
          <w:szCs w:val="24"/>
        </w:rPr>
        <w:t>cant</w:t>
      </w:r>
      <w:proofErr w:type="gramEnd"/>
      <w:r w:rsidRPr="39718A74" w:rsidR="39718A74">
        <w:rPr>
          <w:rFonts w:ascii="Times New Roman" w:hAnsi="Times New Roman" w:eastAsia="Times New Roman" w:cs="Times New Roman"/>
          <w:sz w:val="24"/>
          <w:szCs w:val="24"/>
        </w:rPr>
        <w:t xml:space="preserve"> just rebut that one, because that is </w:t>
      </w:r>
      <w:r w:rsidRPr="39718A74" w:rsidR="39718A74">
        <w:rPr>
          <w:rFonts w:ascii="Times New Roman" w:hAnsi="Times New Roman" w:eastAsia="Times New Roman" w:cs="Times New Roman"/>
          <w:sz w:val="24"/>
          <w:szCs w:val="24"/>
        </w:rPr>
        <w:t>someone's</w:t>
      </w:r>
      <w:r w:rsidRPr="39718A74" w:rsidR="39718A74">
        <w:rPr>
          <w:rFonts w:ascii="Times New Roman" w:hAnsi="Times New Roman" w:eastAsia="Times New Roman" w:cs="Times New Roman"/>
          <w:sz w:val="24"/>
          <w:szCs w:val="24"/>
        </w:rPr>
        <w:t xml:space="preserve"> life and the person will have to pay time in jail or in a mental health </w:t>
      </w:r>
      <w:r w:rsidRPr="39718A74" w:rsidR="39718A74">
        <w:rPr>
          <w:rFonts w:ascii="Times New Roman" w:hAnsi="Times New Roman" w:eastAsia="Times New Roman" w:cs="Times New Roman"/>
          <w:sz w:val="24"/>
          <w:szCs w:val="24"/>
        </w:rPr>
        <w:t>facility</w:t>
      </w:r>
      <w:r w:rsidRPr="39718A74" w:rsidR="39718A74">
        <w:rPr>
          <w:rFonts w:ascii="Times New Roman" w:hAnsi="Times New Roman" w:eastAsia="Times New Roman" w:cs="Times New Roman"/>
          <w:sz w:val="24"/>
          <w:szCs w:val="24"/>
        </w:rPr>
        <w:t xml:space="preserve">. </w:t>
      </w:r>
    </w:p>
    <w:p w:rsidR="39718A74" w:rsidP="39718A74" w:rsidRDefault="39718A74" w14:paraId="09BE6464" w14:textId="2ABFA85E">
      <w:pPr>
        <w:pStyle w:val="Normal"/>
        <w:spacing w:line="480" w:lineRule="auto"/>
        <w:ind w:left="360"/>
        <w:rPr>
          <w:rFonts w:ascii="Times New Roman" w:hAnsi="Times New Roman" w:eastAsia="Times New Roman" w:cs="Times New Roman"/>
          <w:sz w:val="24"/>
          <w:szCs w:val="24"/>
        </w:rPr>
      </w:pPr>
    </w:p>
    <w:p w:rsidR="39718A74" w:rsidP="39718A74" w:rsidRDefault="39718A74" w14:paraId="26900B77" w14:textId="00223528">
      <w:pPr>
        <w:pStyle w:val="Normal"/>
        <w:spacing w:line="480" w:lineRule="auto"/>
        <w:ind w:left="360"/>
        <w:rPr>
          <w:rFonts w:ascii="Times New Roman" w:hAnsi="Times New Roman" w:eastAsia="Times New Roman" w:cs="Times New Roman"/>
          <w:sz w:val="24"/>
          <w:szCs w:val="24"/>
        </w:rPr>
      </w:pPr>
    </w:p>
    <w:p w:rsidR="39718A74" w:rsidP="39718A74" w:rsidRDefault="39718A74" w14:paraId="3F6C4955" w14:textId="35FBE828">
      <w:pPr>
        <w:pStyle w:val="Normal"/>
        <w:spacing w:line="480" w:lineRule="auto"/>
        <w:ind w:left="360"/>
        <w:rPr>
          <w:rFonts w:ascii="Times New Roman" w:hAnsi="Times New Roman" w:eastAsia="Times New Roman" w:cs="Times New Roman"/>
          <w:sz w:val="24"/>
          <w:szCs w:val="24"/>
        </w:rPr>
      </w:pPr>
    </w:p>
    <w:p w:rsidR="39718A74" w:rsidP="39718A74" w:rsidRDefault="39718A74" w14:paraId="2966AD27" w14:textId="4673629C">
      <w:pPr>
        <w:pStyle w:val="Normal"/>
        <w:spacing w:line="480" w:lineRule="auto"/>
        <w:ind w:left="360"/>
        <w:rPr>
          <w:rFonts w:ascii="Times New Roman" w:hAnsi="Times New Roman" w:eastAsia="Times New Roman" w:cs="Times New Roman"/>
          <w:sz w:val="24"/>
          <w:szCs w:val="24"/>
        </w:rPr>
      </w:pPr>
      <w:r w:rsidRPr="39718A74" w:rsidR="39718A74">
        <w:rPr>
          <w:rFonts w:ascii="Times New Roman" w:hAnsi="Times New Roman" w:eastAsia="Times New Roman" w:cs="Times New Roman"/>
          <w:sz w:val="24"/>
          <w:szCs w:val="24"/>
        </w:rPr>
        <w:t>Works Cited</w:t>
      </w:r>
    </w:p>
    <w:p w:rsidR="39718A74" w:rsidP="39718A74" w:rsidRDefault="39718A74" w14:paraId="0CA081E1" w14:textId="4081F654">
      <w:pPr>
        <w:pStyle w:val="Normal"/>
        <w:spacing w:line="480" w:lineRule="auto"/>
        <w:ind w:left="360" w:firstLine="720"/>
        <w:rPr>
          <w:rFonts w:ascii="Times New Roman" w:hAnsi="Times New Roman" w:eastAsia="Times New Roman" w:cs="Times New Roman"/>
          <w:i w:val="0"/>
          <w:iCs w:val="0"/>
          <w:sz w:val="24"/>
          <w:szCs w:val="24"/>
        </w:rPr>
      </w:pPr>
      <w:r w:rsidRPr="39718A74" w:rsidR="39718A74">
        <w:rPr>
          <w:rFonts w:ascii="Times New Roman" w:hAnsi="Times New Roman" w:eastAsia="Times New Roman" w:cs="Times New Roman"/>
          <w:sz w:val="24"/>
          <w:szCs w:val="24"/>
        </w:rPr>
        <w:t xml:space="preserve">Gardner, T.J., &amp; Anderson, T.M. (2016). </w:t>
      </w:r>
      <w:r w:rsidRPr="39718A74" w:rsidR="39718A74">
        <w:rPr>
          <w:rFonts w:ascii="Times New Roman" w:hAnsi="Times New Roman" w:eastAsia="Times New Roman" w:cs="Times New Roman"/>
          <w:i w:val="1"/>
          <w:iCs w:val="1"/>
          <w:sz w:val="24"/>
          <w:szCs w:val="24"/>
        </w:rPr>
        <w:t>Criminal Law</w:t>
      </w:r>
      <w:r w:rsidRPr="39718A74" w:rsidR="39718A74">
        <w:rPr>
          <w:rFonts w:ascii="Times New Roman" w:hAnsi="Times New Roman" w:eastAsia="Times New Roman" w:cs="Times New Roman"/>
          <w:i w:val="0"/>
          <w:iCs w:val="0"/>
          <w:sz w:val="24"/>
          <w:szCs w:val="24"/>
        </w:rPr>
        <w:t>. Boston, MA, USA: Cengage Learning.</w:t>
      </w:r>
    </w:p>
    <w:p w:rsidR="39718A74" w:rsidP="39718A74" w:rsidRDefault="39718A74" w14:paraId="446588F3" w14:textId="3CB2A640">
      <w:pPr>
        <w:pStyle w:val="Normal"/>
        <w:spacing w:line="480" w:lineRule="auto"/>
        <w:ind w:left="360"/>
        <w:rPr>
          <w:rFonts w:ascii="Times New Roman" w:hAnsi="Times New Roman" w:eastAsia="Times New Roman" w:cs="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539F430"/>
  <w15:docId w15:val="{d1bb7301-3003-40d0-8bc3-e51f879bc0af}"/>
  <w:rsids>
    <w:rsidRoot w:val="532746E8"/>
    <w:rsid w:val="39718A74"/>
    <w:rsid w:val="532746E8"/>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8dae81a8899446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2020-07-16T15:11:49.5089008Z</dcterms:created>
  <dcterms:modified xsi:type="dcterms:W3CDTF">2020-07-16T16:29:35.2326572Z</dcterms:modified>
  <dc:creator>Nicholas Mathews</dc:creator>
  <lastModifiedBy>Nicholas Mathews</lastModifiedBy>
</coreProperties>
</file>